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83" w:rsidRPr="00950E38" w:rsidRDefault="00B45583" w:rsidP="00B455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50E38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0A3404FB" wp14:editId="08AFB9E0">
            <wp:simplePos x="0" y="0"/>
            <wp:positionH relativeFrom="column">
              <wp:posOffset>2844165</wp:posOffset>
            </wp:positionH>
            <wp:positionV relativeFrom="paragraph">
              <wp:posOffset>-362585</wp:posOffset>
            </wp:positionV>
            <wp:extent cx="432435" cy="609600"/>
            <wp:effectExtent l="0" t="0" r="0" b="0"/>
            <wp:wrapSquare wrapText="right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583" w:rsidRPr="00950E38" w:rsidRDefault="00B45583" w:rsidP="00B455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5583" w:rsidRPr="00950E38" w:rsidRDefault="00B45583" w:rsidP="00B455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B45583" w:rsidRPr="00950E38" w:rsidRDefault="00B45583" w:rsidP="00B45583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45583" w:rsidRPr="00950E38" w:rsidRDefault="00B45583" w:rsidP="00B45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B45583" w:rsidRPr="00950E38" w:rsidRDefault="00B45583" w:rsidP="00B45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583" w:rsidRPr="00950E38" w:rsidRDefault="00B45583" w:rsidP="00B455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B45583" w:rsidRPr="00950E38" w:rsidRDefault="00B45583" w:rsidP="00B45583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B45583" w:rsidRPr="00950E38" w:rsidRDefault="00B45583" w:rsidP="00B45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5583" w:rsidRPr="00950E38" w:rsidRDefault="00B45583" w:rsidP="00B45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B45583" w:rsidRDefault="00B45583" w:rsidP="00B45583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B45583" w:rsidRPr="00950E38" w:rsidRDefault="00B45583" w:rsidP="00B45583">
      <w:pPr>
        <w:pStyle w:val="1"/>
        <w:spacing w:before="0" w:line="240" w:lineRule="auto"/>
        <w:ind w:right="538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внесення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50E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 </w:t>
      </w:r>
      <w:proofErr w:type="spellStart"/>
      <w:r w:rsidRPr="00950E38">
        <w:rPr>
          <w:rFonts w:ascii="Times New Roman" w:hAnsi="Times New Roman" w:cs="Times New Roman"/>
          <w:b w:val="0"/>
          <w:color w:val="auto"/>
          <w:sz w:val="24"/>
          <w:szCs w:val="24"/>
        </w:rPr>
        <w:t>міського</w:t>
      </w:r>
      <w:proofErr w:type="spellEnd"/>
      <w:r w:rsidRPr="00950E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бюджету на 2018 </w:t>
      </w:r>
      <w:proofErr w:type="spellStart"/>
      <w:r w:rsidRPr="00950E38">
        <w:rPr>
          <w:rFonts w:ascii="Times New Roman" w:hAnsi="Times New Roman" w:cs="Times New Roman"/>
          <w:b w:val="0"/>
          <w:color w:val="auto"/>
          <w:sz w:val="24"/>
          <w:szCs w:val="24"/>
        </w:rPr>
        <w:t>рік</w:t>
      </w:r>
      <w:proofErr w:type="spellEnd"/>
    </w:p>
    <w:p w:rsidR="00B45583" w:rsidRPr="00950E38" w:rsidRDefault="00B45583" w:rsidP="00B455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пункту 23 частини 1 статті 26, статті 61 Закону України “Про місцеве самоврядування в Україні”, міська рада    </w:t>
      </w: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p w:rsidR="00B45583" w:rsidRPr="00950E38" w:rsidRDefault="00B45583" w:rsidP="00B455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B45583" w:rsidRPr="00950E38" w:rsidRDefault="00B45583" w:rsidP="00B455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зміни до рішення сесії міської ради </w:t>
      </w:r>
      <w:r w:rsidRPr="00950E3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ІІ скликання від 22.12.2017 р. № 10-32/2017р “Про міський  бюджет на 2018 рік”:</w:t>
      </w: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5583" w:rsidRPr="00950E38" w:rsidRDefault="00B45583" w:rsidP="00B45583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Зменшити видатки загального фонду міського бюджету на суму 1 508 000 грн., в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>.:</w:t>
      </w:r>
    </w:p>
    <w:p w:rsidR="00B45583" w:rsidRPr="00950E38" w:rsidRDefault="00B45583" w:rsidP="00B45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3543"/>
        <w:gridCol w:w="1134"/>
        <w:gridCol w:w="1134"/>
        <w:gridCol w:w="992"/>
        <w:gridCol w:w="992"/>
        <w:gridCol w:w="568"/>
      </w:tblGrid>
      <w:tr w:rsidR="00B45583" w:rsidRPr="00950E38" w:rsidTr="007D669E">
        <w:trPr>
          <w:cantSplit/>
        </w:trPr>
        <w:tc>
          <w:tcPr>
            <w:tcW w:w="993" w:type="dxa"/>
            <w:vMerge w:val="restart"/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Код програмної класифікації</w:t>
            </w:r>
          </w:p>
        </w:tc>
        <w:tc>
          <w:tcPr>
            <w:tcW w:w="709" w:type="dxa"/>
            <w:vMerge w:val="restart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Код ТПКВКМБ</w:t>
            </w:r>
          </w:p>
        </w:tc>
        <w:tc>
          <w:tcPr>
            <w:tcW w:w="3543" w:type="dxa"/>
            <w:vMerge w:val="restart"/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 ТПКВКМБ / ТКВКБМ</w:t>
            </w:r>
          </w:p>
        </w:tc>
        <w:tc>
          <w:tcPr>
            <w:tcW w:w="1134" w:type="dxa"/>
            <w:vMerge w:val="restart"/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134" w:type="dxa"/>
            <w:vMerge w:val="restart"/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950E38">
              <w:rPr>
                <w:rFonts w:ascii="Times New Roman" w:hAnsi="Times New Roman" w:cs="Times New Roman"/>
                <w:i/>
                <w:lang w:val="uk-UA"/>
              </w:rPr>
              <w:t>видатки споживання</w:t>
            </w:r>
          </w:p>
        </w:tc>
        <w:tc>
          <w:tcPr>
            <w:tcW w:w="1984" w:type="dxa"/>
            <w:gridSpan w:val="2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  <w:tc>
          <w:tcPr>
            <w:tcW w:w="568" w:type="dxa"/>
            <w:vMerge w:val="restart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50E38">
              <w:rPr>
                <w:rFonts w:ascii="Times New Roman" w:hAnsi="Times New Roman" w:cs="Times New Roman"/>
                <w:i/>
                <w:lang w:val="uk-UA"/>
              </w:rPr>
              <w:t>видатки розвитку</w:t>
            </w:r>
          </w:p>
        </w:tc>
      </w:tr>
      <w:tr w:rsidR="00B45583" w:rsidRPr="00950E38" w:rsidTr="007D669E">
        <w:trPr>
          <w:cantSplit/>
        </w:trPr>
        <w:tc>
          <w:tcPr>
            <w:tcW w:w="993" w:type="dxa"/>
            <w:vMerge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3" w:type="dxa"/>
            <w:vMerge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Оплата праці</w:t>
            </w:r>
          </w:p>
        </w:tc>
        <w:tc>
          <w:tcPr>
            <w:tcW w:w="992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комунальні послуги та енергоносії</w:t>
            </w:r>
          </w:p>
        </w:tc>
        <w:tc>
          <w:tcPr>
            <w:tcW w:w="568" w:type="dxa"/>
            <w:vMerge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5583" w:rsidRPr="00950E38" w:rsidTr="007D669E">
        <w:tc>
          <w:tcPr>
            <w:tcW w:w="993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43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8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B45583" w:rsidRPr="00950E38" w:rsidTr="007D6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0110000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50E38">
              <w:rPr>
                <w:rFonts w:ascii="Times New Roman" w:hAnsi="Times New Roman" w:cs="Times New Roman"/>
                <w:b/>
                <w:bCs/>
              </w:rPr>
              <w:t>Міська</w:t>
            </w:r>
            <w:proofErr w:type="spellEnd"/>
            <w:r w:rsidRPr="00950E38">
              <w:rPr>
                <w:rFonts w:ascii="Times New Roman" w:hAnsi="Times New Roman" w:cs="Times New Roman"/>
                <w:b/>
                <w:bCs/>
              </w:rPr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81 000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81 000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5583" w:rsidRPr="00950E38" w:rsidTr="007D669E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0113104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3104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81 000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81 000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5583" w:rsidRPr="00950E38" w:rsidTr="007D6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0610000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Управління освіти, молоді та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1 427 000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1 427 000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214 800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lang w:val="uk-UA"/>
              </w:rPr>
              <w:t>1173 000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5583" w:rsidRPr="00950E38" w:rsidTr="007D6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0611010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1010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Надання дошкільної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293 000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293 000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293 000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5583" w:rsidRPr="00950E38" w:rsidTr="007D6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0611020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1020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810 000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810 000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810 000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5583" w:rsidRPr="00950E38" w:rsidTr="007D6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0611090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1090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Надання позашкільної освіти позашкільними закладами освіти, заходи із позашкільної роботи з дітьми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70 000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5583" w:rsidRPr="00950E38" w:rsidTr="007D6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lastRenderedPageBreak/>
              <w:t>0611161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1161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Забезпечення діяльності інших закладів у сфері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254 000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254 000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214 800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5583" w:rsidRPr="00950E38" w:rsidTr="007D6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1 508 000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1 508 000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214 800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1173 000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B45583" w:rsidRPr="00950E38" w:rsidRDefault="00B45583" w:rsidP="00B45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5583" w:rsidRPr="00950E38" w:rsidRDefault="00B45583" w:rsidP="00B45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5583" w:rsidRPr="00950E38" w:rsidRDefault="00B45583" w:rsidP="00B4558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50E38">
        <w:rPr>
          <w:rFonts w:ascii="Times New Roman" w:hAnsi="Times New Roman" w:cs="Times New Roman"/>
          <w:lang w:val="uk-UA"/>
        </w:rPr>
        <w:t xml:space="preserve">Збільшити видатки загального фонду міського бюджету на суму 977 900  грн., в </w:t>
      </w:r>
      <w:proofErr w:type="spellStart"/>
      <w:r w:rsidRPr="00950E38">
        <w:rPr>
          <w:rFonts w:ascii="Times New Roman" w:hAnsi="Times New Roman" w:cs="Times New Roman"/>
          <w:lang w:val="uk-UA"/>
        </w:rPr>
        <w:t>т.ч</w:t>
      </w:r>
      <w:proofErr w:type="spellEnd"/>
      <w:r w:rsidRPr="00950E38">
        <w:rPr>
          <w:rFonts w:ascii="Times New Roman" w:hAnsi="Times New Roman" w:cs="Times New Roman"/>
          <w:lang w:val="uk-UA"/>
        </w:rPr>
        <w:t>.:</w:t>
      </w:r>
    </w:p>
    <w:p w:rsidR="00B45583" w:rsidRPr="00950E38" w:rsidRDefault="00B45583" w:rsidP="00B4558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3827"/>
        <w:gridCol w:w="1134"/>
        <w:gridCol w:w="1134"/>
        <w:gridCol w:w="1134"/>
        <w:gridCol w:w="709"/>
        <w:gridCol w:w="709"/>
      </w:tblGrid>
      <w:tr w:rsidR="00B45583" w:rsidRPr="00950E38" w:rsidTr="007D669E">
        <w:trPr>
          <w:cantSplit/>
        </w:trPr>
        <w:tc>
          <w:tcPr>
            <w:tcW w:w="993" w:type="dxa"/>
            <w:vMerge w:val="restart"/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Код програмної класифікації</w:t>
            </w:r>
          </w:p>
        </w:tc>
        <w:tc>
          <w:tcPr>
            <w:tcW w:w="709" w:type="dxa"/>
            <w:vMerge w:val="restart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Код ТПКВКМБ</w:t>
            </w:r>
          </w:p>
        </w:tc>
        <w:tc>
          <w:tcPr>
            <w:tcW w:w="3827" w:type="dxa"/>
            <w:vMerge w:val="restart"/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 ТПКВКМБ / ТКВКБМ</w:t>
            </w:r>
          </w:p>
        </w:tc>
        <w:tc>
          <w:tcPr>
            <w:tcW w:w="1134" w:type="dxa"/>
            <w:vMerge w:val="restart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134" w:type="dxa"/>
            <w:vMerge w:val="restart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50E38">
              <w:rPr>
                <w:rFonts w:ascii="Times New Roman" w:hAnsi="Times New Roman" w:cs="Times New Roman"/>
                <w:i/>
                <w:lang w:val="uk-UA"/>
              </w:rPr>
              <w:t>видатки споживання</w:t>
            </w:r>
          </w:p>
        </w:tc>
        <w:tc>
          <w:tcPr>
            <w:tcW w:w="1843" w:type="dxa"/>
            <w:gridSpan w:val="2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  <w:tc>
          <w:tcPr>
            <w:tcW w:w="709" w:type="dxa"/>
            <w:vMerge w:val="restart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50E38">
              <w:rPr>
                <w:rFonts w:ascii="Times New Roman" w:hAnsi="Times New Roman" w:cs="Times New Roman"/>
                <w:i/>
                <w:lang w:val="uk-UA"/>
              </w:rPr>
              <w:t>видатки розвитку</w:t>
            </w:r>
          </w:p>
        </w:tc>
      </w:tr>
      <w:tr w:rsidR="00B45583" w:rsidRPr="00950E38" w:rsidTr="007D669E">
        <w:trPr>
          <w:cantSplit/>
        </w:trPr>
        <w:tc>
          <w:tcPr>
            <w:tcW w:w="993" w:type="dxa"/>
            <w:vMerge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Оплата праці</w:t>
            </w:r>
          </w:p>
        </w:tc>
        <w:tc>
          <w:tcPr>
            <w:tcW w:w="709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комунальні послуги та енергоносії</w:t>
            </w:r>
          </w:p>
        </w:tc>
        <w:tc>
          <w:tcPr>
            <w:tcW w:w="709" w:type="dxa"/>
            <w:vMerge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5583" w:rsidRPr="00950E38" w:rsidTr="007D669E">
        <w:tc>
          <w:tcPr>
            <w:tcW w:w="993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B45583" w:rsidRPr="00950E38" w:rsidTr="007D6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0110000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50E38">
              <w:rPr>
                <w:rFonts w:ascii="Times New Roman" w:hAnsi="Times New Roman" w:cs="Times New Roman"/>
                <w:b/>
                <w:bCs/>
              </w:rPr>
              <w:t>Міська</w:t>
            </w:r>
            <w:proofErr w:type="spellEnd"/>
            <w:r w:rsidRPr="00950E38">
              <w:rPr>
                <w:rFonts w:ascii="Times New Roman" w:hAnsi="Times New Roman" w:cs="Times New Roman"/>
                <w:b/>
                <w:bCs/>
              </w:rPr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174 900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174 900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5583" w:rsidRPr="00950E38" w:rsidTr="007D6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0112111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2111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153 300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153 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950E38">
              <w:rPr>
                <w:rFonts w:ascii="Times New Roman" w:hAnsi="Times New Roman" w:cs="Times New Roman"/>
                <w:bCs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5583" w:rsidRPr="00950E38" w:rsidTr="007D6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0117680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7680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Членські внески до асоціацій органів місцевого самоврядування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21 600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21 600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5583" w:rsidRPr="00950E38" w:rsidTr="007D6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0610000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Управління освіти, молоді та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803 000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803 000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5583" w:rsidRPr="00950E38" w:rsidTr="007D6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0611010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1010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Надання дошкільної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163 200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163 200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5583" w:rsidRPr="00950E38" w:rsidTr="007D6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0611020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538 800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538 800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5583" w:rsidRPr="00950E38" w:rsidTr="007D6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0613140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3140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101 000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101 000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5583" w:rsidRPr="00950E38" w:rsidTr="007D6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977 900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977 900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B45583" w:rsidRPr="00950E38" w:rsidRDefault="00B45583" w:rsidP="00B45583">
      <w:pPr>
        <w:tabs>
          <w:tab w:val="left" w:pos="0"/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45583" w:rsidRPr="00950E38" w:rsidRDefault="00B45583" w:rsidP="00B4558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50E38">
        <w:rPr>
          <w:rFonts w:ascii="Times New Roman" w:hAnsi="Times New Roman" w:cs="Times New Roman"/>
          <w:lang w:val="uk-UA"/>
        </w:rPr>
        <w:tab/>
      </w:r>
    </w:p>
    <w:p w:rsidR="00B45583" w:rsidRPr="00950E38" w:rsidRDefault="00B45583" w:rsidP="00B4558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50E38">
        <w:rPr>
          <w:rFonts w:ascii="Times New Roman" w:hAnsi="Times New Roman" w:cs="Times New Roman"/>
          <w:lang w:val="uk-UA"/>
        </w:rPr>
        <w:t>Збільшити видатки спеціального фонду міського бюджету на суму 530 100 грн., в тому числі: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2126"/>
        <w:gridCol w:w="993"/>
        <w:gridCol w:w="720"/>
        <w:gridCol w:w="720"/>
        <w:gridCol w:w="720"/>
        <w:gridCol w:w="1080"/>
        <w:gridCol w:w="1012"/>
        <w:gridCol w:w="1080"/>
      </w:tblGrid>
      <w:tr w:rsidR="00B45583" w:rsidRPr="00950E38" w:rsidTr="007D669E">
        <w:tc>
          <w:tcPr>
            <w:tcW w:w="959" w:type="dxa"/>
            <w:vMerge w:val="restart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Код програмної класифікації</w:t>
            </w:r>
          </w:p>
        </w:tc>
        <w:tc>
          <w:tcPr>
            <w:tcW w:w="709" w:type="dxa"/>
            <w:vMerge w:val="restart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Код ТПКВКМБ</w:t>
            </w:r>
          </w:p>
        </w:tc>
        <w:tc>
          <w:tcPr>
            <w:tcW w:w="2126" w:type="dxa"/>
            <w:vMerge w:val="restart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 xml:space="preserve">Найменування головного розпорядника, відповідального виконавця, бюджетної програми або напряму видатків згідно з типовою відомчою / </w:t>
            </w:r>
            <w:r w:rsidRPr="00950E38">
              <w:rPr>
                <w:rFonts w:ascii="Times New Roman" w:hAnsi="Times New Roman" w:cs="Times New Roman"/>
                <w:lang w:val="uk-UA"/>
              </w:rPr>
              <w:lastRenderedPageBreak/>
              <w:t>ТПКВКМБ / ТКВКБМ</w:t>
            </w:r>
          </w:p>
        </w:tc>
        <w:tc>
          <w:tcPr>
            <w:tcW w:w="993" w:type="dxa"/>
            <w:vMerge w:val="restart"/>
            <w:vAlign w:val="center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lastRenderedPageBreak/>
              <w:t>Всього</w:t>
            </w:r>
          </w:p>
        </w:tc>
        <w:tc>
          <w:tcPr>
            <w:tcW w:w="720" w:type="dxa"/>
            <w:vMerge w:val="restart"/>
            <w:vAlign w:val="center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Споживання</w:t>
            </w:r>
          </w:p>
        </w:tc>
        <w:tc>
          <w:tcPr>
            <w:tcW w:w="1440" w:type="dxa"/>
            <w:gridSpan w:val="2"/>
            <w:vAlign w:val="center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  <w:tc>
          <w:tcPr>
            <w:tcW w:w="1080" w:type="dxa"/>
            <w:vMerge w:val="restart"/>
            <w:vAlign w:val="center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2092" w:type="dxa"/>
            <w:gridSpan w:val="2"/>
            <w:vAlign w:val="center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</w:tr>
      <w:tr w:rsidR="00B45583" w:rsidRPr="00950E38" w:rsidTr="007D669E">
        <w:trPr>
          <w:trHeight w:val="999"/>
        </w:trPr>
        <w:tc>
          <w:tcPr>
            <w:tcW w:w="959" w:type="dxa"/>
            <w:vMerge/>
            <w:vAlign w:val="center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vAlign w:val="center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Оплата праці</w:t>
            </w:r>
          </w:p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Комунальні послуги та енергоносії</w:t>
            </w:r>
          </w:p>
        </w:tc>
        <w:tc>
          <w:tcPr>
            <w:tcW w:w="1080" w:type="dxa"/>
            <w:vMerge/>
            <w:vAlign w:val="center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2" w:type="dxa"/>
            <w:vAlign w:val="center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Бюджет розвитку</w:t>
            </w:r>
          </w:p>
        </w:tc>
        <w:tc>
          <w:tcPr>
            <w:tcW w:w="1080" w:type="dxa"/>
            <w:vAlign w:val="center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 xml:space="preserve">З них капітальні видатки за рахунок коштів, що передаються із </w:t>
            </w:r>
            <w:r w:rsidRPr="00950E38">
              <w:rPr>
                <w:rFonts w:ascii="Times New Roman" w:hAnsi="Times New Roman" w:cs="Times New Roman"/>
                <w:lang w:val="uk-UA"/>
              </w:rPr>
              <w:lastRenderedPageBreak/>
              <w:t>загального фонду до бюджету розвитку</w:t>
            </w:r>
          </w:p>
        </w:tc>
      </w:tr>
      <w:tr w:rsidR="00B45583" w:rsidRPr="00950E38" w:rsidTr="007D669E">
        <w:tc>
          <w:tcPr>
            <w:tcW w:w="959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0110000</w:t>
            </w:r>
          </w:p>
        </w:tc>
        <w:tc>
          <w:tcPr>
            <w:tcW w:w="709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50E38">
              <w:rPr>
                <w:rFonts w:ascii="Times New Roman" w:hAnsi="Times New Roman" w:cs="Times New Roman"/>
                <w:b/>
                <w:bCs/>
              </w:rPr>
              <w:t>Міська</w:t>
            </w:r>
            <w:proofErr w:type="spellEnd"/>
            <w:r w:rsidRPr="00950E38">
              <w:rPr>
                <w:rFonts w:ascii="Times New Roman" w:hAnsi="Times New Roman" w:cs="Times New Roman"/>
                <w:b/>
                <w:bCs/>
              </w:rPr>
              <w:t xml:space="preserve"> рада</w:t>
            </w:r>
          </w:p>
        </w:tc>
        <w:tc>
          <w:tcPr>
            <w:tcW w:w="993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lang w:val="uk-UA"/>
              </w:rPr>
              <w:t>522 500</w:t>
            </w:r>
          </w:p>
        </w:tc>
        <w:tc>
          <w:tcPr>
            <w:tcW w:w="720" w:type="dxa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lang w:val="uk-UA"/>
              </w:rPr>
              <w:t>522 500</w:t>
            </w:r>
          </w:p>
        </w:tc>
        <w:tc>
          <w:tcPr>
            <w:tcW w:w="1012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lang w:val="uk-UA"/>
              </w:rPr>
              <w:t>522 500</w:t>
            </w:r>
          </w:p>
        </w:tc>
        <w:tc>
          <w:tcPr>
            <w:tcW w:w="1080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lang w:val="uk-UA"/>
              </w:rPr>
              <w:t>522 500</w:t>
            </w:r>
          </w:p>
        </w:tc>
      </w:tr>
      <w:tr w:rsidR="00B45583" w:rsidRPr="00950E38" w:rsidTr="007D669E">
        <w:tc>
          <w:tcPr>
            <w:tcW w:w="959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0112111</w:t>
            </w:r>
          </w:p>
        </w:tc>
        <w:tc>
          <w:tcPr>
            <w:tcW w:w="709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2111</w:t>
            </w:r>
          </w:p>
        </w:tc>
        <w:tc>
          <w:tcPr>
            <w:tcW w:w="2126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993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393 500</w:t>
            </w:r>
          </w:p>
        </w:tc>
        <w:tc>
          <w:tcPr>
            <w:tcW w:w="720" w:type="dxa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393 500</w:t>
            </w:r>
          </w:p>
        </w:tc>
        <w:tc>
          <w:tcPr>
            <w:tcW w:w="1012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393 500</w:t>
            </w:r>
          </w:p>
        </w:tc>
        <w:tc>
          <w:tcPr>
            <w:tcW w:w="1080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393 500</w:t>
            </w:r>
          </w:p>
        </w:tc>
      </w:tr>
      <w:tr w:rsidR="00B45583" w:rsidRPr="00950E38" w:rsidTr="007D669E">
        <w:tc>
          <w:tcPr>
            <w:tcW w:w="959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0116030</w:t>
            </w:r>
          </w:p>
        </w:tc>
        <w:tc>
          <w:tcPr>
            <w:tcW w:w="709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6030</w:t>
            </w:r>
          </w:p>
        </w:tc>
        <w:tc>
          <w:tcPr>
            <w:tcW w:w="2126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993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21 000</w:t>
            </w:r>
          </w:p>
        </w:tc>
        <w:tc>
          <w:tcPr>
            <w:tcW w:w="720" w:type="dxa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21 000</w:t>
            </w:r>
          </w:p>
        </w:tc>
        <w:tc>
          <w:tcPr>
            <w:tcW w:w="1012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21 000</w:t>
            </w:r>
          </w:p>
        </w:tc>
        <w:tc>
          <w:tcPr>
            <w:tcW w:w="1080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21 000</w:t>
            </w:r>
          </w:p>
        </w:tc>
      </w:tr>
      <w:tr w:rsidR="00B45583" w:rsidRPr="00950E38" w:rsidTr="007D669E">
        <w:tc>
          <w:tcPr>
            <w:tcW w:w="959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0117350</w:t>
            </w:r>
          </w:p>
        </w:tc>
        <w:tc>
          <w:tcPr>
            <w:tcW w:w="709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7350</w:t>
            </w:r>
          </w:p>
        </w:tc>
        <w:tc>
          <w:tcPr>
            <w:tcW w:w="2126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993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108 000</w:t>
            </w:r>
          </w:p>
        </w:tc>
        <w:tc>
          <w:tcPr>
            <w:tcW w:w="720" w:type="dxa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108 000</w:t>
            </w:r>
          </w:p>
        </w:tc>
        <w:tc>
          <w:tcPr>
            <w:tcW w:w="1012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108 000</w:t>
            </w:r>
          </w:p>
        </w:tc>
        <w:tc>
          <w:tcPr>
            <w:tcW w:w="1080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108 000</w:t>
            </w:r>
          </w:p>
        </w:tc>
      </w:tr>
      <w:tr w:rsidR="00B45583" w:rsidRPr="00950E38" w:rsidTr="007D669E">
        <w:tc>
          <w:tcPr>
            <w:tcW w:w="959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0610000</w:t>
            </w:r>
          </w:p>
        </w:tc>
        <w:tc>
          <w:tcPr>
            <w:tcW w:w="709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bCs/>
                <w:lang w:val="uk-UA"/>
              </w:rPr>
              <w:t>Управління освіти, молоді та спорту</w:t>
            </w:r>
          </w:p>
        </w:tc>
        <w:tc>
          <w:tcPr>
            <w:tcW w:w="993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lang w:val="uk-UA"/>
              </w:rPr>
              <w:t>7 600</w:t>
            </w:r>
          </w:p>
        </w:tc>
        <w:tc>
          <w:tcPr>
            <w:tcW w:w="720" w:type="dxa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lang w:val="uk-UA"/>
              </w:rPr>
              <w:t>7 600</w:t>
            </w:r>
          </w:p>
        </w:tc>
        <w:tc>
          <w:tcPr>
            <w:tcW w:w="1012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lang w:val="uk-UA"/>
              </w:rPr>
              <w:t>7 600</w:t>
            </w:r>
          </w:p>
        </w:tc>
        <w:tc>
          <w:tcPr>
            <w:tcW w:w="1080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lang w:val="uk-UA"/>
              </w:rPr>
              <w:t>7 600</w:t>
            </w:r>
          </w:p>
        </w:tc>
      </w:tr>
      <w:tr w:rsidR="00B45583" w:rsidRPr="00950E38" w:rsidTr="007D669E">
        <w:tc>
          <w:tcPr>
            <w:tcW w:w="959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0611020</w:t>
            </w:r>
          </w:p>
        </w:tc>
        <w:tc>
          <w:tcPr>
            <w:tcW w:w="709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1020</w:t>
            </w:r>
          </w:p>
        </w:tc>
        <w:tc>
          <w:tcPr>
            <w:tcW w:w="2126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50E38">
              <w:rPr>
                <w:rFonts w:ascii="Times New Roman" w:hAnsi="Times New Roman" w:cs="Times New Roman"/>
                <w:bCs/>
                <w:lang w:val="uk-UA"/>
              </w:rPr>
      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993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7 600</w:t>
            </w:r>
          </w:p>
        </w:tc>
        <w:tc>
          <w:tcPr>
            <w:tcW w:w="720" w:type="dxa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7 600</w:t>
            </w:r>
          </w:p>
        </w:tc>
        <w:tc>
          <w:tcPr>
            <w:tcW w:w="1012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7 600</w:t>
            </w:r>
          </w:p>
        </w:tc>
        <w:tc>
          <w:tcPr>
            <w:tcW w:w="1080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E38">
              <w:rPr>
                <w:rFonts w:ascii="Times New Roman" w:hAnsi="Times New Roman" w:cs="Times New Roman"/>
                <w:lang w:val="uk-UA"/>
              </w:rPr>
              <w:t>7 600</w:t>
            </w:r>
          </w:p>
        </w:tc>
      </w:tr>
      <w:tr w:rsidR="00B45583" w:rsidRPr="00950E38" w:rsidTr="007D669E">
        <w:tc>
          <w:tcPr>
            <w:tcW w:w="959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45583" w:rsidRPr="00950E38" w:rsidRDefault="00B45583" w:rsidP="007D669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993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lang w:val="uk-UA"/>
              </w:rPr>
              <w:t>530 100</w:t>
            </w:r>
          </w:p>
        </w:tc>
        <w:tc>
          <w:tcPr>
            <w:tcW w:w="720" w:type="dxa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B45583" w:rsidRPr="00950E38" w:rsidRDefault="00B45583" w:rsidP="007D669E">
            <w:pPr>
              <w:tabs>
                <w:tab w:val="left" w:pos="10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lang w:val="uk-UA"/>
              </w:rPr>
              <w:t>530 100</w:t>
            </w:r>
          </w:p>
        </w:tc>
        <w:tc>
          <w:tcPr>
            <w:tcW w:w="1012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lang w:val="uk-UA"/>
              </w:rPr>
              <w:t>530 100</w:t>
            </w:r>
          </w:p>
        </w:tc>
        <w:tc>
          <w:tcPr>
            <w:tcW w:w="1080" w:type="dxa"/>
          </w:tcPr>
          <w:p w:rsidR="00B45583" w:rsidRPr="00950E38" w:rsidRDefault="00B45583" w:rsidP="007D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0E38">
              <w:rPr>
                <w:rFonts w:ascii="Times New Roman" w:hAnsi="Times New Roman" w:cs="Times New Roman"/>
                <w:b/>
                <w:lang w:val="uk-UA"/>
              </w:rPr>
              <w:t>530 100</w:t>
            </w:r>
          </w:p>
        </w:tc>
      </w:tr>
    </w:tbl>
    <w:p w:rsidR="00B45583" w:rsidRPr="00950E38" w:rsidRDefault="00B45583" w:rsidP="00B45583">
      <w:pPr>
        <w:tabs>
          <w:tab w:val="left" w:pos="823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50E38">
        <w:rPr>
          <w:rFonts w:ascii="Times New Roman" w:hAnsi="Times New Roman" w:cs="Times New Roman"/>
          <w:lang w:val="uk-UA"/>
        </w:rPr>
        <w:tab/>
      </w:r>
    </w:p>
    <w:p w:rsidR="00B45583" w:rsidRPr="00950E38" w:rsidRDefault="00B45583" w:rsidP="00B45583">
      <w:pPr>
        <w:tabs>
          <w:tab w:val="right" w:pos="10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lang w:val="uk-UA"/>
        </w:rPr>
        <w:t xml:space="preserve">       Збільшити  профіцит загального фонду та дефіцит спеціального фонду (бюджету розвитку) на суму 530 100 гр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н. за рахунок коштів, що передаються з загального фонду до спеціального фонду (бюджету розвитку).</w:t>
      </w:r>
    </w:p>
    <w:p w:rsidR="00B45583" w:rsidRPr="00950E38" w:rsidRDefault="00B45583" w:rsidP="00B45583">
      <w:pPr>
        <w:tabs>
          <w:tab w:val="right" w:pos="10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B45583" w:rsidRPr="00950E38" w:rsidRDefault="00B45583" w:rsidP="00B45583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Збільшити доходи загального фонду міського бюджету на суму 237 700 грн.., в тому числі по коду  41053900 “Інші субвенції з місцевого бюджету” – 237 700 грн.</w:t>
      </w: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Збільшити видатки загального фонду міського бюджету на суму 4 300 грн., в тому числі по КПКВКМБ 0112111 </w:t>
      </w:r>
      <w:r w:rsidRPr="00950E38">
        <w:rPr>
          <w:rFonts w:ascii="Times New Roman" w:hAnsi="Times New Roman" w:cs="Times New Roman"/>
          <w:sz w:val="24"/>
          <w:szCs w:val="24"/>
        </w:rPr>
        <w:t>“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Первинна медична допомога населенню, що надається центрами первинної медичної (медико-санітарної) допомоги</w:t>
      </w:r>
      <w:r w:rsidRPr="00950E38">
        <w:rPr>
          <w:rFonts w:ascii="Times New Roman" w:hAnsi="Times New Roman" w:cs="Times New Roman"/>
          <w:sz w:val="24"/>
          <w:szCs w:val="24"/>
        </w:rPr>
        <w:t xml:space="preserve">”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– 4 300 грн. (головний розпорядник – міська рада)</w:t>
      </w: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Збільшити видатки спеціального фонду міського бюджету (бюджету розвитку) на суму 233 400 грн., в тому числі по КПКВКМБ 0112111 “Первинна медична допомога населенню, що надається центрами первинної медичної (медико-санітарної) допомоги” – 233 400 грн. (головний розпорядник – міська рада)</w:t>
      </w: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Збільшити  профіцит загального фонду та дефіцит спеціального фонду (бюджету розвитку) на суму 233 400 грн. за рахунок коштів, що передаються з загального фонду до спеціального фонду (бюджету розвитку).</w:t>
      </w: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5583" w:rsidRPr="00950E38" w:rsidRDefault="00B45583" w:rsidP="00B45583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Кошти залишку екологічного податку, який утворився станом на 01.01.2018р., в сумі 21 000 грн., заплановані рішенням сесії міської ради від 20.04.2018р. №9 -35/2018р “Про внесення змін до міського бюджету на 2018 рік</w:t>
      </w: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” на облаштування </w:t>
      </w:r>
      <w:proofErr w:type="spellStart"/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>цембрин</w:t>
      </w:r>
      <w:proofErr w:type="spellEnd"/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спрямувати на ліквідацію нелегальних сміттєзвалищ. КПКВКМБ 0118311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>Охорона та раціональне використання природних ресурсів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” не змінювати.</w:t>
      </w: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5583" w:rsidRPr="00950E38" w:rsidRDefault="00B45583" w:rsidP="00B45583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Зменшити видатки загального фонду міського бюджету та збільшити видатки спеціального фонду міського бюджету (бюджету розвитку) по КПКВКМБ 0116030 </w:t>
      </w:r>
      <w:r w:rsidRPr="00950E38">
        <w:rPr>
          <w:rFonts w:ascii="Times New Roman" w:hAnsi="Times New Roman" w:cs="Times New Roman"/>
          <w:sz w:val="24"/>
          <w:szCs w:val="24"/>
        </w:rPr>
        <w:t>“</w:t>
      </w: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>Організація благоустрою населених пунктів</w:t>
      </w:r>
      <w:r w:rsidRPr="00950E38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>на суму 81 500 грн. (головний розпорядник – міська рада).</w:t>
      </w: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Збільшити  профіцит загального фонду та дефіцит спеціального фонду (бюджету розвитку) на суму 81 500 грн. за рахунок коштів, що передаються з загального фонду до спеціального фонду (бюджету розвитку).</w:t>
      </w: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45583" w:rsidRPr="00950E38" w:rsidRDefault="00B45583" w:rsidP="00B45583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Зменшити видатки загального фонду міського бюджету та збільшити видатки спеціального фонду міського бюджету (бюджету розвитку) по КПКВКМБ 0116030 </w:t>
      </w:r>
      <w:r w:rsidRPr="00950E38">
        <w:rPr>
          <w:rFonts w:ascii="Times New Roman" w:hAnsi="Times New Roman" w:cs="Times New Roman"/>
          <w:sz w:val="24"/>
          <w:szCs w:val="24"/>
        </w:rPr>
        <w:t>“</w:t>
      </w: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>Організація благоустрою населених пунктів</w:t>
      </w:r>
      <w:r w:rsidRPr="00950E38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>на суму 100 000 грн.(головний розпорядник – міська рада)</w:t>
      </w: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Збільшити  профіцит загального фонду та дефіцит спеціального фонду (бюджету розвитку) на суму 100 000 грн. за рахунок коштів, що передаються з загального фонду до спеціального фонду (бюджету розвитку).</w:t>
      </w: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5583" w:rsidRPr="00950E38" w:rsidRDefault="00B45583" w:rsidP="00B45583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Зменшити видатки загального фонду міського бюджету по КПКВКМБ 0116030 “</w:t>
      </w: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Організація благоустрою населених пунктів” та збільшити видатки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загального </w:t>
      </w: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фонду міського бюджету (бюджету розвитку) по КПКВКМБ 0117461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>Утримання та розвиток автомобільних доріг та дорожньої інфраструктури за рахунок коштів місцевого бюджету” на суму 300 000 грн.(головний розпорядник – міська рада).</w:t>
      </w:r>
    </w:p>
    <w:p w:rsidR="00B45583" w:rsidRPr="00950E38" w:rsidRDefault="00B45583" w:rsidP="00B45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5583" w:rsidRPr="00950E38" w:rsidRDefault="00B45583" w:rsidP="00B45583">
      <w:pPr>
        <w:tabs>
          <w:tab w:val="right" w:pos="10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</w:t>
      </w: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 2. Додатки 1, 2, 3, 4, 5, 6, 7 до рішення сесії міської ради </w:t>
      </w:r>
      <w:r w:rsidRPr="00950E3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ІІ скликан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ня від </w:t>
      </w:r>
      <w:r w:rsidRPr="005E107A"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  <w:lang w:val="uk-UA"/>
        </w:rPr>
        <w:t>.12.201</w:t>
      </w:r>
      <w:r w:rsidRPr="00801743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Pr="005E107A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E107A">
        <w:rPr>
          <w:rFonts w:ascii="Times New Roman" w:hAnsi="Times New Roman" w:cs="Times New Roman"/>
          <w:sz w:val="24"/>
          <w:szCs w:val="24"/>
          <w:lang w:val="uk-UA"/>
        </w:rPr>
        <w:t>32</w:t>
      </w:r>
      <w:r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Pr="005E107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р “Про міський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бюджет на 201</w:t>
      </w:r>
      <w:r w:rsidRPr="005E107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рік” з урахуванням внесених змін викласти у новій редакції відповідно до даного рішення.</w:t>
      </w: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950E3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</w:t>
      </w: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950E38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950E38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,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фінансів бюджету та</w:t>
      </w:r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соціально-економічного розвитку</w:t>
      </w:r>
      <w:r w:rsidRPr="00950E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583" w:rsidRPr="00950E38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5583" w:rsidRPr="00102860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583" w:rsidRPr="00102860" w:rsidRDefault="00B45583" w:rsidP="00B4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583" w:rsidRPr="00950E38" w:rsidRDefault="00B45583" w:rsidP="00B45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В.Заяць</w:t>
      </w:r>
      <w:proofErr w:type="spellEnd"/>
    </w:p>
    <w:p w:rsidR="00B45583" w:rsidRPr="00950E38" w:rsidRDefault="00B45583" w:rsidP="00B455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45583" w:rsidRPr="00950E38" w:rsidRDefault="00B45583" w:rsidP="00B455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Пояснювальна записка до рішення міської ради</w:t>
      </w:r>
    </w:p>
    <w:p w:rsidR="00B45583" w:rsidRPr="00950E38" w:rsidRDefault="00B45583" w:rsidP="00B455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sz w:val="24"/>
          <w:szCs w:val="24"/>
          <w:lang w:val="uk-UA"/>
        </w:rPr>
        <w:t>від 30 травня 2018 року</w:t>
      </w:r>
    </w:p>
    <w:p w:rsidR="00B45583" w:rsidRPr="00950E38" w:rsidRDefault="00B45583" w:rsidP="00B455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„</w:t>
      </w:r>
      <w:r w:rsidRPr="00950E38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міського бюджету на 2018 рік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”</w:t>
      </w:r>
    </w:p>
    <w:p w:rsidR="00B45583" w:rsidRPr="00950E38" w:rsidRDefault="00B45583" w:rsidP="00B455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5583" w:rsidRPr="00950E38" w:rsidRDefault="00B45583" w:rsidP="00B4558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</w:rPr>
        <w:t xml:space="preserve">1.Внесення </w:t>
      </w:r>
      <w:proofErr w:type="spellStart"/>
      <w:r w:rsidRPr="00950E38">
        <w:rPr>
          <w:rFonts w:ascii="Times New Roman" w:hAnsi="Times New Roman"/>
          <w:sz w:val="24"/>
          <w:szCs w:val="24"/>
        </w:rPr>
        <w:t>змін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50E38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бюджету на 2018 </w:t>
      </w:r>
      <w:proofErr w:type="spellStart"/>
      <w:r w:rsidRPr="00950E38">
        <w:rPr>
          <w:rFonts w:ascii="Times New Roman" w:hAnsi="Times New Roman"/>
          <w:sz w:val="24"/>
          <w:szCs w:val="24"/>
        </w:rPr>
        <w:t>рік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обумовлено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забезпеченням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нагальних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потреб </w:t>
      </w:r>
      <w:proofErr w:type="spellStart"/>
      <w:r w:rsidRPr="00950E38">
        <w:rPr>
          <w:rFonts w:ascii="Times New Roman" w:hAnsi="Times New Roman"/>
          <w:sz w:val="24"/>
          <w:szCs w:val="24"/>
        </w:rPr>
        <w:t>громади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50E38">
        <w:rPr>
          <w:rFonts w:ascii="Times New Roman" w:hAnsi="Times New Roman"/>
          <w:sz w:val="24"/>
          <w:szCs w:val="24"/>
        </w:rPr>
        <w:t>рахунок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перерозподілу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раніше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виділених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коштів</w:t>
      </w:r>
      <w:proofErr w:type="spellEnd"/>
      <w:r w:rsidRPr="00950E38">
        <w:rPr>
          <w:rFonts w:ascii="Times New Roman" w:hAnsi="Times New Roman"/>
          <w:sz w:val="24"/>
          <w:szCs w:val="24"/>
        </w:rPr>
        <w:t>.</w:t>
      </w:r>
    </w:p>
    <w:p w:rsidR="00B45583" w:rsidRPr="00950E38" w:rsidRDefault="00B45583" w:rsidP="00B45583">
      <w:pPr>
        <w:pStyle w:val="a5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</w:rPr>
        <w:t xml:space="preserve">За результатами </w:t>
      </w:r>
      <w:proofErr w:type="spellStart"/>
      <w:r w:rsidRPr="00950E38">
        <w:rPr>
          <w:rFonts w:ascii="Times New Roman" w:hAnsi="Times New Roman"/>
          <w:sz w:val="24"/>
          <w:szCs w:val="24"/>
        </w:rPr>
        <w:t>перевірки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кошторису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КУ «</w:t>
      </w:r>
      <w:proofErr w:type="spellStart"/>
      <w:r w:rsidRPr="00950E38">
        <w:rPr>
          <w:rFonts w:ascii="Times New Roman" w:hAnsi="Times New Roman"/>
          <w:sz w:val="24"/>
          <w:szCs w:val="24"/>
        </w:rPr>
        <w:t>Територіальний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центр </w:t>
      </w:r>
      <w:proofErr w:type="spellStart"/>
      <w:r w:rsidRPr="00950E38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виявлено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надлишок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призначень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50E38">
        <w:rPr>
          <w:rFonts w:ascii="Times New Roman" w:hAnsi="Times New Roman"/>
          <w:sz w:val="24"/>
          <w:szCs w:val="24"/>
        </w:rPr>
        <w:t>сумі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81 </w:t>
      </w:r>
      <w:proofErr w:type="spellStart"/>
      <w:r w:rsidRPr="00950E38">
        <w:rPr>
          <w:rFonts w:ascii="Times New Roman" w:hAnsi="Times New Roman"/>
          <w:sz w:val="24"/>
          <w:szCs w:val="24"/>
        </w:rPr>
        <w:t>тис.грн</w:t>
      </w:r>
      <w:proofErr w:type="spellEnd"/>
      <w:r w:rsidRPr="00950E38">
        <w:rPr>
          <w:rFonts w:ascii="Times New Roman" w:hAnsi="Times New Roman"/>
          <w:sz w:val="24"/>
          <w:szCs w:val="24"/>
        </w:rPr>
        <w:t>.</w:t>
      </w:r>
      <w:proofErr w:type="gramStart"/>
      <w:r w:rsidRPr="00950E3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50E38">
        <w:rPr>
          <w:rFonts w:ascii="Times New Roman" w:hAnsi="Times New Roman"/>
          <w:sz w:val="24"/>
          <w:szCs w:val="24"/>
        </w:rPr>
        <w:t>який</w:t>
      </w:r>
      <w:proofErr w:type="spellEnd"/>
      <w:proofErr w:type="gram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виник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950E38">
        <w:rPr>
          <w:rFonts w:ascii="Times New Roman" w:hAnsi="Times New Roman"/>
          <w:sz w:val="24"/>
          <w:szCs w:val="24"/>
        </w:rPr>
        <w:t>подвоєння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50E38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установи в </w:t>
      </w:r>
      <w:proofErr w:type="spellStart"/>
      <w:r w:rsidRPr="00950E38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50E38">
        <w:rPr>
          <w:rFonts w:ascii="Times New Roman" w:hAnsi="Times New Roman"/>
          <w:sz w:val="24"/>
          <w:szCs w:val="24"/>
        </w:rPr>
        <w:t>виділенням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коштів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50E38">
        <w:rPr>
          <w:rFonts w:ascii="Times New Roman" w:hAnsi="Times New Roman"/>
          <w:sz w:val="24"/>
          <w:szCs w:val="24"/>
        </w:rPr>
        <w:t>інших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громад. </w:t>
      </w:r>
    </w:p>
    <w:p w:rsidR="00B45583" w:rsidRPr="00950E38" w:rsidRDefault="00B45583" w:rsidP="00B45583">
      <w:pPr>
        <w:pStyle w:val="a5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</w:rPr>
        <w:t xml:space="preserve">Проведений </w:t>
      </w:r>
      <w:proofErr w:type="spellStart"/>
      <w:r w:rsidRPr="00950E38">
        <w:rPr>
          <w:rFonts w:ascii="Times New Roman" w:hAnsi="Times New Roman"/>
          <w:sz w:val="24"/>
          <w:szCs w:val="24"/>
        </w:rPr>
        <w:t>аналіз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енергоносіїв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закладами </w:t>
      </w:r>
      <w:proofErr w:type="spellStart"/>
      <w:r w:rsidRPr="00950E38">
        <w:rPr>
          <w:rFonts w:ascii="Times New Roman" w:hAnsi="Times New Roman"/>
          <w:sz w:val="24"/>
          <w:szCs w:val="24"/>
        </w:rPr>
        <w:t>освіти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50E38">
        <w:rPr>
          <w:rFonts w:ascii="Times New Roman" w:hAnsi="Times New Roman"/>
          <w:sz w:val="24"/>
          <w:szCs w:val="24"/>
        </w:rPr>
        <w:t>січень-квітень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поточного року </w:t>
      </w:r>
      <w:proofErr w:type="spellStart"/>
      <w:r w:rsidRPr="00950E38">
        <w:rPr>
          <w:rFonts w:ascii="Times New Roman" w:hAnsi="Times New Roman"/>
          <w:sz w:val="24"/>
          <w:szCs w:val="24"/>
        </w:rPr>
        <w:t>свідчить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950E38">
        <w:rPr>
          <w:rFonts w:ascii="Times New Roman" w:hAnsi="Times New Roman"/>
          <w:sz w:val="24"/>
          <w:szCs w:val="24"/>
        </w:rPr>
        <w:t>економію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50E38">
        <w:rPr>
          <w:rFonts w:ascii="Times New Roman" w:hAnsi="Times New Roman"/>
          <w:sz w:val="24"/>
          <w:szCs w:val="24"/>
        </w:rPr>
        <w:t>надлишок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призначень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50E38">
        <w:rPr>
          <w:rFonts w:ascii="Times New Roman" w:hAnsi="Times New Roman"/>
          <w:sz w:val="24"/>
          <w:szCs w:val="24"/>
        </w:rPr>
        <w:t>сумі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1 173 </w:t>
      </w:r>
      <w:proofErr w:type="spellStart"/>
      <w:r w:rsidRPr="00950E38">
        <w:rPr>
          <w:rFonts w:ascii="Times New Roman" w:hAnsi="Times New Roman"/>
          <w:sz w:val="24"/>
          <w:szCs w:val="24"/>
        </w:rPr>
        <w:t>тис.грн</w:t>
      </w:r>
      <w:proofErr w:type="spellEnd"/>
      <w:r w:rsidRPr="00950E38">
        <w:rPr>
          <w:rFonts w:ascii="Times New Roman" w:hAnsi="Times New Roman"/>
          <w:sz w:val="24"/>
          <w:szCs w:val="24"/>
        </w:rPr>
        <w:t>.</w:t>
      </w:r>
    </w:p>
    <w:p w:rsidR="00B45583" w:rsidRPr="00950E38" w:rsidRDefault="00B45583" w:rsidP="00B45583">
      <w:pPr>
        <w:pStyle w:val="ab"/>
        <w:numPr>
          <w:ilvl w:val="1"/>
          <w:numId w:val="17"/>
        </w:numPr>
        <w:ind w:left="0" w:firstLine="709"/>
        <w:jc w:val="both"/>
        <w:rPr>
          <w:lang w:val="uk-UA"/>
        </w:rPr>
      </w:pPr>
      <w:r w:rsidRPr="00950E38">
        <w:rPr>
          <w:lang w:val="uk-UA"/>
        </w:rPr>
        <w:t xml:space="preserve">Постановою КМУ від 11.01.2018р. №23 </w:t>
      </w:r>
      <w:proofErr w:type="spellStart"/>
      <w:r w:rsidRPr="00950E38">
        <w:rPr>
          <w:lang w:val="uk-UA"/>
        </w:rPr>
        <w:t>внесено</w:t>
      </w:r>
      <w:proofErr w:type="spellEnd"/>
      <w:r w:rsidRPr="00950E38">
        <w:rPr>
          <w:lang w:val="uk-UA"/>
        </w:rPr>
        <w:t xml:space="preserve"> зміни до підпункту 6 пункту 3 Порядку та умов надання освітньої субвенції з державного бюджету місцевим бюджетам, затвердженого постановою КМУ від 14.01.2016р. №6 (зі змінами згідно постанови КМУ від 11.01.2018р. №23), згідно з якими утримання </w:t>
      </w:r>
      <w:proofErr w:type="spellStart"/>
      <w:r w:rsidRPr="00950E38">
        <w:rPr>
          <w:lang w:val="uk-UA"/>
        </w:rPr>
        <w:t>інклюзивно</w:t>
      </w:r>
      <w:proofErr w:type="spellEnd"/>
      <w:r w:rsidRPr="00950E38">
        <w:rPr>
          <w:lang w:val="uk-UA"/>
        </w:rPr>
        <w:t xml:space="preserve">-ресурсних центрів здійснюється за рахунок освітньої субвенції. Разом з тим за рахунок коштів міського бюджету передбачено 254 </w:t>
      </w:r>
      <w:proofErr w:type="spellStart"/>
      <w:r w:rsidRPr="00950E38">
        <w:rPr>
          <w:lang w:val="uk-UA"/>
        </w:rPr>
        <w:t>тис.грн</w:t>
      </w:r>
      <w:proofErr w:type="spellEnd"/>
      <w:r w:rsidRPr="00950E38">
        <w:rPr>
          <w:lang w:val="uk-UA"/>
        </w:rPr>
        <w:t xml:space="preserve">. на заробітну плату педагогічного персоналу </w:t>
      </w:r>
      <w:proofErr w:type="spellStart"/>
      <w:r w:rsidRPr="00950E38">
        <w:rPr>
          <w:lang w:val="uk-UA"/>
        </w:rPr>
        <w:t>інклюзивно</w:t>
      </w:r>
      <w:proofErr w:type="spellEnd"/>
      <w:r w:rsidRPr="00950E38">
        <w:rPr>
          <w:lang w:val="uk-UA"/>
        </w:rPr>
        <w:t>-ресурсного центру, який буде діяти з 01.09.2018 року.  Тобто зазначені кошти доцільно спрямувати на інші видатки.</w:t>
      </w:r>
    </w:p>
    <w:p w:rsidR="00B45583" w:rsidRPr="00950E38" w:rsidRDefault="00B45583" w:rsidP="00B4558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E38">
        <w:rPr>
          <w:rFonts w:ascii="Times New Roman" w:hAnsi="Times New Roman"/>
          <w:sz w:val="24"/>
          <w:szCs w:val="24"/>
        </w:rPr>
        <w:t>Отже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E38">
        <w:rPr>
          <w:rFonts w:ascii="Times New Roman" w:hAnsi="Times New Roman"/>
          <w:sz w:val="24"/>
          <w:szCs w:val="24"/>
        </w:rPr>
        <w:t>маємо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фінансовий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ресурс в </w:t>
      </w:r>
      <w:proofErr w:type="spellStart"/>
      <w:r w:rsidRPr="00950E38">
        <w:rPr>
          <w:rFonts w:ascii="Times New Roman" w:hAnsi="Times New Roman"/>
          <w:sz w:val="24"/>
          <w:szCs w:val="24"/>
        </w:rPr>
        <w:t>сумі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1 508 </w:t>
      </w:r>
      <w:proofErr w:type="spellStart"/>
      <w:r w:rsidRPr="00950E38">
        <w:rPr>
          <w:rFonts w:ascii="Times New Roman" w:hAnsi="Times New Roman"/>
          <w:sz w:val="24"/>
          <w:szCs w:val="24"/>
        </w:rPr>
        <w:t>тис.грн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50E38">
        <w:rPr>
          <w:rFonts w:ascii="Times New Roman" w:hAnsi="Times New Roman"/>
          <w:sz w:val="24"/>
          <w:szCs w:val="24"/>
        </w:rPr>
        <w:t>який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пропонується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запланувати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наступним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чином:</w:t>
      </w:r>
    </w:p>
    <w:p w:rsidR="00B45583" w:rsidRPr="00950E38" w:rsidRDefault="00B45583" w:rsidP="00B4558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E38">
        <w:rPr>
          <w:rFonts w:ascii="Times New Roman" w:hAnsi="Times New Roman"/>
          <w:sz w:val="24"/>
          <w:szCs w:val="24"/>
          <w:u w:val="single"/>
        </w:rPr>
        <w:t>Міській</w:t>
      </w:r>
      <w:proofErr w:type="spellEnd"/>
      <w:r w:rsidRPr="00950E3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  <w:u w:val="single"/>
        </w:rPr>
        <w:t>раді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, як головному </w:t>
      </w:r>
      <w:proofErr w:type="spellStart"/>
      <w:r w:rsidRPr="00950E38">
        <w:rPr>
          <w:rFonts w:ascii="Times New Roman" w:hAnsi="Times New Roman"/>
          <w:sz w:val="24"/>
          <w:szCs w:val="24"/>
        </w:rPr>
        <w:t>розпоряднику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коштів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передбачити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697,4 </w:t>
      </w:r>
      <w:proofErr w:type="spellStart"/>
      <w:r w:rsidRPr="00950E38">
        <w:rPr>
          <w:rFonts w:ascii="Times New Roman" w:hAnsi="Times New Roman"/>
          <w:sz w:val="24"/>
          <w:szCs w:val="24"/>
        </w:rPr>
        <w:t>тис.грн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0E38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на:</w:t>
      </w:r>
    </w:p>
    <w:p w:rsidR="00B45583" w:rsidRPr="00950E38" w:rsidRDefault="00B45583" w:rsidP="00B45583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50E38">
        <w:rPr>
          <w:rFonts w:ascii="Times New Roman" w:hAnsi="Times New Roman"/>
          <w:sz w:val="24"/>
          <w:szCs w:val="24"/>
        </w:rPr>
        <w:t>придбання</w:t>
      </w:r>
      <w:proofErr w:type="spellEnd"/>
      <w:proofErr w:type="gram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комп’ютерного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50E38">
        <w:rPr>
          <w:rFonts w:ascii="Times New Roman" w:hAnsi="Times New Roman"/>
          <w:sz w:val="24"/>
          <w:szCs w:val="24"/>
        </w:rPr>
        <w:t>іншого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E38">
        <w:rPr>
          <w:rFonts w:ascii="Times New Roman" w:hAnsi="Times New Roman"/>
          <w:sz w:val="24"/>
          <w:szCs w:val="24"/>
        </w:rPr>
        <w:t>антивірусного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програмного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50E38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автоматизованих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робочих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місць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лікарів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в рамках </w:t>
      </w:r>
      <w:proofErr w:type="spellStart"/>
      <w:r w:rsidRPr="00950E38">
        <w:rPr>
          <w:rFonts w:ascii="Times New Roman" w:hAnsi="Times New Roman"/>
          <w:sz w:val="24"/>
          <w:szCs w:val="24"/>
        </w:rPr>
        <w:t>медичної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реформи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50E38">
        <w:rPr>
          <w:rFonts w:ascii="Times New Roman" w:hAnsi="Times New Roman"/>
          <w:sz w:val="24"/>
          <w:szCs w:val="24"/>
        </w:rPr>
        <w:t>крім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спеціалізованої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50E38">
        <w:rPr>
          <w:rFonts w:ascii="Times New Roman" w:hAnsi="Times New Roman"/>
          <w:sz w:val="24"/>
          <w:szCs w:val="24"/>
        </w:rPr>
        <w:t>медичної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інформаційної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системи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«Доктор </w:t>
      </w:r>
      <w:proofErr w:type="spellStart"/>
      <w:r w:rsidRPr="00950E38">
        <w:rPr>
          <w:rFonts w:ascii="Times New Roman" w:hAnsi="Times New Roman"/>
          <w:sz w:val="24"/>
          <w:szCs w:val="24"/>
        </w:rPr>
        <w:t>Елекс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950E38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якої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близько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400 </w:t>
      </w:r>
      <w:proofErr w:type="spellStart"/>
      <w:r w:rsidRPr="00950E38">
        <w:rPr>
          <w:rFonts w:ascii="Times New Roman" w:hAnsi="Times New Roman"/>
          <w:sz w:val="24"/>
          <w:szCs w:val="24"/>
        </w:rPr>
        <w:t>тис.грн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.) – 477,8 </w:t>
      </w:r>
      <w:proofErr w:type="spellStart"/>
      <w:r w:rsidRPr="00950E38">
        <w:rPr>
          <w:rFonts w:ascii="Times New Roman" w:hAnsi="Times New Roman"/>
          <w:sz w:val="24"/>
          <w:szCs w:val="24"/>
        </w:rPr>
        <w:t>тис.грн</w:t>
      </w:r>
      <w:proofErr w:type="spellEnd"/>
      <w:r w:rsidRPr="00950E38">
        <w:rPr>
          <w:rFonts w:ascii="Times New Roman" w:hAnsi="Times New Roman"/>
          <w:sz w:val="24"/>
          <w:szCs w:val="24"/>
        </w:rPr>
        <w:t>.</w:t>
      </w:r>
    </w:p>
    <w:p w:rsidR="00B45583" w:rsidRPr="00950E38" w:rsidRDefault="00B45583" w:rsidP="00B45583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50E38">
        <w:rPr>
          <w:rFonts w:ascii="Times New Roman" w:hAnsi="Times New Roman"/>
          <w:sz w:val="24"/>
          <w:szCs w:val="24"/>
        </w:rPr>
        <w:t>коригування</w:t>
      </w:r>
      <w:proofErr w:type="spellEnd"/>
      <w:proofErr w:type="gramEnd"/>
      <w:r w:rsidRPr="00950E38"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r w:rsidRPr="00950E38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змін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до генерального плану </w:t>
      </w:r>
      <w:proofErr w:type="spellStart"/>
      <w:r w:rsidRPr="00950E38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50E38">
        <w:rPr>
          <w:rFonts w:ascii="Times New Roman" w:hAnsi="Times New Roman"/>
          <w:sz w:val="24"/>
          <w:szCs w:val="24"/>
        </w:rPr>
        <w:t>розробленого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історико-архітектурного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опорного плану  – 86 </w:t>
      </w:r>
      <w:proofErr w:type="spellStart"/>
      <w:r w:rsidRPr="00950E38">
        <w:rPr>
          <w:rFonts w:ascii="Times New Roman" w:hAnsi="Times New Roman"/>
          <w:sz w:val="24"/>
          <w:szCs w:val="24"/>
        </w:rPr>
        <w:t>тис.грн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50E38">
        <w:rPr>
          <w:rFonts w:ascii="Times New Roman" w:hAnsi="Times New Roman"/>
          <w:sz w:val="24"/>
          <w:szCs w:val="24"/>
        </w:rPr>
        <w:t>завершення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розроблення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генерального плану </w:t>
      </w:r>
      <w:proofErr w:type="spellStart"/>
      <w:r w:rsidRPr="00950E38">
        <w:rPr>
          <w:rFonts w:ascii="Times New Roman" w:hAnsi="Times New Roman"/>
          <w:sz w:val="24"/>
          <w:szCs w:val="24"/>
        </w:rPr>
        <w:t>с.Городиська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– 22 </w:t>
      </w:r>
      <w:proofErr w:type="spellStart"/>
      <w:r w:rsidRPr="00950E38">
        <w:rPr>
          <w:rFonts w:ascii="Times New Roman" w:hAnsi="Times New Roman"/>
          <w:sz w:val="24"/>
          <w:szCs w:val="24"/>
        </w:rPr>
        <w:t>тис.грн</w:t>
      </w:r>
      <w:proofErr w:type="spellEnd"/>
      <w:r w:rsidRPr="00950E38">
        <w:rPr>
          <w:rFonts w:ascii="Times New Roman" w:hAnsi="Times New Roman"/>
          <w:sz w:val="24"/>
          <w:szCs w:val="24"/>
        </w:rPr>
        <w:t>.</w:t>
      </w:r>
    </w:p>
    <w:p w:rsidR="00B45583" w:rsidRPr="00950E38" w:rsidRDefault="00B45583" w:rsidP="00B45583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50E38">
        <w:rPr>
          <w:rFonts w:ascii="Times New Roman" w:hAnsi="Times New Roman"/>
          <w:sz w:val="24"/>
          <w:szCs w:val="24"/>
        </w:rPr>
        <w:t>членські</w:t>
      </w:r>
      <w:proofErr w:type="spellEnd"/>
      <w:proofErr w:type="gram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внески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Асоціації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міст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50E38">
        <w:rPr>
          <w:rFonts w:ascii="Times New Roman" w:hAnsi="Times New Roman"/>
          <w:sz w:val="24"/>
          <w:szCs w:val="24"/>
        </w:rPr>
        <w:t>Асоціації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ОТГ за 2018 </w:t>
      </w:r>
      <w:proofErr w:type="spellStart"/>
      <w:r w:rsidRPr="00950E38">
        <w:rPr>
          <w:rFonts w:ascii="Times New Roman" w:hAnsi="Times New Roman"/>
          <w:sz w:val="24"/>
          <w:szCs w:val="24"/>
        </w:rPr>
        <w:t>рік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– 21,6 </w:t>
      </w:r>
      <w:proofErr w:type="spellStart"/>
      <w:r w:rsidRPr="00950E38">
        <w:rPr>
          <w:rFonts w:ascii="Times New Roman" w:hAnsi="Times New Roman"/>
          <w:sz w:val="24"/>
          <w:szCs w:val="24"/>
        </w:rPr>
        <w:t>тис.грн</w:t>
      </w:r>
      <w:proofErr w:type="spellEnd"/>
      <w:r w:rsidRPr="00950E38">
        <w:rPr>
          <w:rFonts w:ascii="Times New Roman" w:hAnsi="Times New Roman"/>
          <w:sz w:val="24"/>
          <w:szCs w:val="24"/>
        </w:rPr>
        <w:t>.</w:t>
      </w:r>
    </w:p>
    <w:p w:rsidR="00B45583" w:rsidRPr="00950E38" w:rsidRDefault="00B45583" w:rsidP="00B45583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50E38">
        <w:rPr>
          <w:rFonts w:ascii="Times New Roman" w:hAnsi="Times New Roman"/>
          <w:sz w:val="24"/>
          <w:szCs w:val="24"/>
        </w:rPr>
        <w:t>виготовлення</w:t>
      </w:r>
      <w:proofErr w:type="spellEnd"/>
      <w:proofErr w:type="gramEnd"/>
      <w:r w:rsidRPr="00950E38">
        <w:rPr>
          <w:rFonts w:ascii="Times New Roman" w:hAnsi="Times New Roman"/>
          <w:sz w:val="24"/>
          <w:szCs w:val="24"/>
        </w:rPr>
        <w:t xml:space="preserve"> проектно-</w:t>
      </w:r>
      <w:proofErr w:type="spellStart"/>
      <w:r w:rsidRPr="00950E38">
        <w:rPr>
          <w:rFonts w:ascii="Times New Roman" w:hAnsi="Times New Roman"/>
          <w:sz w:val="24"/>
          <w:szCs w:val="24"/>
        </w:rPr>
        <w:t>кошторисної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50E38">
        <w:rPr>
          <w:rFonts w:ascii="Times New Roman" w:hAnsi="Times New Roman"/>
          <w:sz w:val="24"/>
          <w:szCs w:val="24"/>
        </w:rPr>
        <w:t>капітальний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ремонт </w:t>
      </w:r>
      <w:proofErr w:type="spellStart"/>
      <w:r w:rsidRPr="00950E38">
        <w:rPr>
          <w:rFonts w:ascii="Times New Roman" w:hAnsi="Times New Roman"/>
          <w:sz w:val="24"/>
          <w:szCs w:val="24"/>
        </w:rPr>
        <w:t>приміщення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Миньковецької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амбулаторії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50E38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експертизи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ПКД – 69 </w:t>
      </w:r>
      <w:proofErr w:type="spellStart"/>
      <w:r w:rsidRPr="00950E38">
        <w:rPr>
          <w:rFonts w:ascii="Times New Roman" w:hAnsi="Times New Roman"/>
          <w:sz w:val="24"/>
          <w:szCs w:val="24"/>
        </w:rPr>
        <w:t>тис.грн</w:t>
      </w:r>
      <w:proofErr w:type="spellEnd"/>
      <w:r w:rsidRPr="00950E38">
        <w:rPr>
          <w:rFonts w:ascii="Times New Roman" w:hAnsi="Times New Roman"/>
          <w:sz w:val="24"/>
          <w:szCs w:val="24"/>
        </w:rPr>
        <w:t>.</w:t>
      </w:r>
    </w:p>
    <w:p w:rsidR="00B45583" w:rsidRPr="00950E38" w:rsidRDefault="00B45583" w:rsidP="00B45583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50E38">
        <w:rPr>
          <w:rFonts w:ascii="Times New Roman" w:hAnsi="Times New Roman"/>
          <w:sz w:val="24"/>
          <w:szCs w:val="24"/>
        </w:rPr>
        <w:t>придбання</w:t>
      </w:r>
      <w:proofErr w:type="spellEnd"/>
      <w:proofErr w:type="gram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цимбрин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50E38">
        <w:rPr>
          <w:rFonts w:ascii="Times New Roman" w:hAnsi="Times New Roman"/>
          <w:sz w:val="24"/>
          <w:szCs w:val="24"/>
        </w:rPr>
        <w:t>громадських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криниць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– 21 </w:t>
      </w:r>
      <w:proofErr w:type="spellStart"/>
      <w:r w:rsidRPr="00950E38">
        <w:rPr>
          <w:rFonts w:ascii="Times New Roman" w:hAnsi="Times New Roman"/>
          <w:sz w:val="24"/>
          <w:szCs w:val="24"/>
        </w:rPr>
        <w:t>тис.грн</w:t>
      </w:r>
      <w:proofErr w:type="spellEnd"/>
      <w:r w:rsidRPr="00950E38">
        <w:rPr>
          <w:rFonts w:ascii="Times New Roman" w:hAnsi="Times New Roman"/>
          <w:sz w:val="24"/>
          <w:szCs w:val="24"/>
        </w:rPr>
        <w:t>.</w:t>
      </w:r>
    </w:p>
    <w:p w:rsidR="00B45583" w:rsidRPr="00950E38" w:rsidRDefault="00B45583" w:rsidP="00B4558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5583" w:rsidRPr="00950E38" w:rsidRDefault="00B45583" w:rsidP="00B455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Управлінню освіти, молоді та спорту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-  810,6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>.:</w:t>
      </w:r>
    </w:p>
    <w:p w:rsidR="00B45583" w:rsidRPr="00950E38" w:rsidRDefault="00B45583" w:rsidP="00B45583">
      <w:pPr>
        <w:pStyle w:val="ab"/>
        <w:numPr>
          <w:ilvl w:val="0"/>
          <w:numId w:val="16"/>
        </w:numPr>
        <w:ind w:left="0" w:firstLine="709"/>
        <w:rPr>
          <w:lang w:val="uk-UA"/>
        </w:rPr>
      </w:pPr>
      <w:r w:rsidRPr="00950E38">
        <w:rPr>
          <w:lang w:val="uk-UA"/>
        </w:rPr>
        <w:t xml:space="preserve">облаштування системи обліку природного газу засобами дистанційного керування в садочках – 150 </w:t>
      </w:r>
      <w:proofErr w:type="spellStart"/>
      <w:r w:rsidRPr="00950E38">
        <w:rPr>
          <w:lang w:val="uk-UA"/>
        </w:rPr>
        <w:t>тис.грн</w:t>
      </w:r>
      <w:proofErr w:type="spellEnd"/>
      <w:r w:rsidRPr="00950E38">
        <w:rPr>
          <w:lang w:val="uk-UA"/>
        </w:rPr>
        <w:t xml:space="preserve">., в школах – 250 </w:t>
      </w:r>
      <w:proofErr w:type="spellStart"/>
      <w:r w:rsidRPr="00950E38">
        <w:rPr>
          <w:lang w:val="uk-UA"/>
        </w:rPr>
        <w:t>тис.грн</w:t>
      </w:r>
      <w:proofErr w:type="spellEnd"/>
      <w:r w:rsidRPr="00950E38">
        <w:rPr>
          <w:lang w:val="uk-UA"/>
        </w:rPr>
        <w:t>.</w:t>
      </w:r>
    </w:p>
    <w:p w:rsidR="00B45583" w:rsidRPr="00950E38" w:rsidRDefault="00B45583" w:rsidP="00B45583">
      <w:pPr>
        <w:pStyle w:val="ab"/>
        <w:numPr>
          <w:ilvl w:val="0"/>
          <w:numId w:val="16"/>
        </w:numPr>
        <w:ind w:left="0" w:firstLine="709"/>
        <w:rPr>
          <w:lang w:val="uk-UA"/>
        </w:rPr>
      </w:pPr>
      <w:r w:rsidRPr="00950E38">
        <w:rPr>
          <w:lang w:val="uk-UA"/>
        </w:rPr>
        <w:t xml:space="preserve"> оздоровлення школярів – 101 </w:t>
      </w:r>
      <w:proofErr w:type="spellStart"/>
      <w:r w:rsidRPr="00950E38">
        <w:rPr>
          <w:lang w:val="uk-UA"/>
        </w:rPr>
        <w:t>тис.грн</w:t>
      </w:r>
      <w:proofErr w:type="spellEnd"/>
      <w:r w:rsidRPr="00950E38">
        <w:rPr>
          <w:lang w:val="uk-UA"/>
        </w:rPr>
        <w:t>.</w:t>
      </w:r>
    </w:p>
    <w:p w:rsidR="00B45583" w:rsidRPr="00950E38" w:rsidRDefault="00B45583" w:rsidP="00B45583">
      <w:pPr>
        <w:pStyle w:val="ab"/>
        <w:numPr>
          <w:ilvl w:val="0"/>
          <w:numId w:val="16"/>
        </w:numPr>
        <w:ind w:left="0" w:firstLine="709"/>
        <w:rPr>
          <w:lang w:val="uk-UA"/>
        </w:rPr>
      </w:pPr>
      <w:r w:rsidRPr="00950E38">
        <w:rPr>
          <w:lang w:val="uk-UA"/>
        </w:rPr>
        <w:t xml:space="preserve">заміна електролічильників в школах – 30,8 </w:t>
      </w:r>
      <w:proofErr w:type="spellStart"/>
      <w:r w:rsidRPr="00950E38">
        <w:rPr>
          <w:lang w:val="uk-UA"/>
        </w:rPr>
        <w:t>тис.грн</w:t>
      </w:r>
      <w:proofErr w:type="spellEnd"/>
      <w:r w:rsidRPr="00950E38">
        <w:rPr>
          <w:lang w:val="uk-UA"/>
        </w:rPr>
        <w:t>.</w:t>
      </w:r>
    </w:p>
    <w:p w:rsidR="00B45583" w:rsidRPr="00950E38" w:rsidRDefault="00B45583" w:rsidP="00B45583">
      <w:pPr>
        <w:pStyle w:val="ab"/>
        <w:numPr>
          <w:ilvl w:val="0"/>
          <w:numId w:val="16"/>
        </w:numPr>
        <w:ind w:left="0" w:firstLine="709"/>
        <w:rPr>
          <w:lang w:val="uk-UA"/>
        </w:rPr>
      </w:pPr>
      <w:r w:rsidRPr="00950E38">
        <w:rPr>
          <w:lang w:val="uk-UA"/>
        </w:rPr>
        <w:t>облаштування стелі «</w:t>
      </w:r>
      <w:proofErr w:type="spellStart"/>
      <w:r w:rsidRPr="00950E38">
        <w:rPr>
          <w:lang w:val="uk-UA"/>
        </w:rPr>
        <w:t>армстронг</w:t>
      </w:r>
      <w:proofErr w:type="spellEnd"/>
      <w:r w:rsidRPr="00950E38">
        <w:rPr>
          <w:lang w:val="uk-UA"/>
        </w:rPr>
        <w:t xml:space="preserve">» в двох кабінетах </w:t>
      </w:r>
      <w:proofErr w:type="spellStart"/>
      <w:r w:rsidRPr="00950E38">
        <w:rPr>
          <w:lang w:val="uk-UA"/>
        </w:rPr>
        <w:t>Дунаєвецької</w:t>
      </w:r>
      <w:proofErr w:type="spellEnd"/>
      <w:r w:rsidRPr="00950E38">
        <w:rPr>
          <w:lang w:val="uk-UA"/>
        </w:rPr>
        <w:t xml:space="preserve"> ЗОШ №2 (34 </w:t>
      </w:r>
      <w:proofErr w:type="spellStart"/>
      <w:r w:rsidRPr="00950E38">
        <w:rPr>
          <w:lang w:val="uk-UA"/>
        </w:rPr>
        <w:t>тис.грн</w:t>
      </w:r>
      <w:proofErr w:type="spellEnd"/>
      <w:r w:rsidRPr="00950E38">
        <w:rPr>
          <w:lang w:val="uk-UA"/>
        </w:rPr>
        <w:t xml:space="preserve">.) та в </w:t>
      </w:r>
      <w:proofErr w:type="spellStart"/>
      <w:r w:rsidRPr="00950E38">
        <w:rPr>
          <w:lang w:val="uk-UA"/>
        </w:rPr>
        <w:t>Миньковецькій</w:t>
      </w:r>
      <w:proofErr w:type="spellEnd"/>
      <w:r w:rsidRPr="00950E38">
        <w:rPr>
          <w:lang w:val="uk-UA"/>
        </w:rPr>
        <w:t xml:space="preserve"> ЗОШ (49 </w:t>
      </w:r>
      <w:proofErr w:type="spellStart"/>
      <w:r w:rsidRPr="00950E38">
        <w:rPr>
          <w:lang w:val="uk-UA"/>
        </w:rPr>
        <w:t>тис.грн</w:t>
      </w:r>
      <w:proofErr w:type="spellEnd"/>
      <w:r w:rsidRPr="00950E38">
        <w:rPr>
          <w:lang w:val="uk-UA"/>
        </w:rPr>
        <w:t>.)</w:t>
      </w:r>
    </w:p>
    <w:p w:rsidR="00B45583" w:rsidRPr="00950E38" w:rsidRDefault="00B45583" w:rsidP="00B45583">
      <w:pPr>
        <w:pStyle w:val="ab"/>
        <w:numPr>
          <w:ilvl w:val="0"/>
          <w:numId w:val="16"/>
        </w:numPr>
        <w:ind w:left="0" w:firstLine="709"/>
        <w:rPr>
          <w:lang w:val="uk-UA"/>
        </w:rPr>
      </w:pPr>
      <w:r w:rsidRPr="00950E38">
        <w:rPr>
          <w:lang w:val="uk-UA"/>
        </w:rPr>
        <w:t xml:space="preserve">ремонт будівлі </w:t>
      </w:r>
      <w:proofErr w:type="spellStart"/>
      <w:r w:rsidRPr="00950E38">
        <w:rPr>
          <w:lang w:val="uk-UA"/>
        </w:rPr>
        <w:t>Ганнівського</w:t>
      </w:r>
      <w:proofErr w:type="spellEnd"/>
      <w:r w:rsidRPr="00950E38">
        <w:rPr>
          <w:lang w:val="uk-UA"/>
        </w:rPr>
        <w:t xml:space="preserve"> садочка (стяжка по периметру металевою арматурою) – 13,2 </w:t>
      </w:r>
      <w:proofErr w:type="spellStart"/>
      <w:r w:rsidRPr="00950E38">
        <w:rPr>
          <w:lang w:val="uk-UA"/>
        </w:rPr>
        <w:t>тис.грн</w:t>
      </w:r>
      <w:proofErr w:type="spellEnd"/>
      <w:r w:rsidRPr="00950E38">
        <w:rPr>
          <w:lang w:val="uk-UA"/>
        </w:rPr>
        <w:t>.</w:t>
      </w:r>
    </w:p>
    <w:p w:rsidR="00B45583" w:rsidRPr="00950E38" w:rsidRDefault="00B45583" w:rsidP="00B45583">
      <w:pPr>
        <w:pStyle w:val="ab"/>
        <w:numPr>
          <w:ilvl w:val="0"/>
          <w:numId w:val="16"/>
        </w:numPr>
        <w:ind w:left="0" w:firstLine="709"/>
        <w:rPr>
          <w:lang w:val="uk-UA"/>
        </w:rPr>
      </w:pPr>
      <w:r w:rsidRPr="00950E38">
        <w:rPr>
          <w:lang w:val="uk-UA"/>
        </w:rPr>
        <w:t xml:space="preserve">придбання пульта озвучення для </w:t>
      </w:r>
      <w:proofErr w:type="spellStart"/>
      <w:r w:rsidRPr="00950E38">
        <w:rPr>
          <w:lang w:val="uk-UA"/>
        </w:rPr>
        <w:t>Миньковецької</w:t>
      </w:r>
      <w:proofErr w:type="spellEnd"/>
      <w:r w:rsidRPr="00950E38">
        <w:rPr>
          <w:lang w:val="uk-UA"/>
        </w:rPr>
        <w:t xml:space="preserve"> ЗОШ – 7,6 </w:t>
      </w:r>
      <w:proofErr w:type="spellStart"/>
      <w:r w:rsidRPr="00950E38">
        <w:rPr>
          <w:lang w:val="uk-UA"/>
        </w:rPr>
        <w:t>тис.грн</w:t>
      </w:r>
      <w:proofErr w:type="spellEnd"/>
      <w:r w:rsidRPr="00950E38">
        <w:rPr>
          <w:lang w:val="uk-UA"/>
        </w:rPr>
        <w:t>.</w:t>
      </w:r>
    </w:p>
    <w:p w:rsidR="00B45583" w:rsidRPr="00950E38" w:rsidRDefault="00B45583" w:rsidP="00B45583">
      <w:pPr>
        <w:pStyle w:val="ab"/>
        <w:numPr>
          <w:ilvl w:val="0"/>
          <w:numId w:val="16"/>
        </w:numPr>
        <w:ind w:left="0" w:firstLine="709"/>
        <w:jc w:val="both"/>
        <w:rPr>
          <w:lang w:val="uk-UA"/>
        </w:rPr>
      </w:pPr>
      <w:proofErr w:type="spellStart"/>
      <w:r w:rsidRPr="00950E38">
        <w:rPr>
          <w:lang w:val="uk-UA"/>
        </w:rPr>
        <w:t>співфінансування</w:t>
      </w:r>
      <w:proofErr w:type="spellEnd"/>
      <w:r w:rsidRPr="00950E38">
        <w:rPr>
          <w:lang w:val="uk-UA"/>
        </w:rPr>
        <w:t xml:space="preserve"> відповідно до пункту 3 наказу МОН від 19.01.2018р №58 «Про затвердження методичних рекомендацій щодо використання коштів освітньої субвенції» в розмірі 10 відсотків придбання персонального комп’ютера/ноутбука та техніки для друкування, копіювання та ламінування з витратними матеріалами для початкової школи - 47 </w:t>
      </w:r>
      <w:proofErr w:type="spellStart"/>
      <w:r w:rsidRPr="00950E38">
        <w:rPr>
          <w:lang w:val="uk-UA"/>
        </w:rPr>
        <w:t>тис.грн</w:t>
      </w:r>
      <w:proofErr w:type="spellEnd"/>
      <w:r w:rsidRPr="00950E38">
        <w:rPr>
          <w:lang w:val="uk-UA"/>
        </w:rPr>
        <w:t xml:space="preserve">. </w:t>
      </w:r>
    </w:p>
    <w:p w:rsidR="00B45583" w:rsidRPr="00950E38" w:rsidRDefault="00B45583" w:rsidP="00B45583">
      <w:pPr>
        <w:pStyle w:val="ab"/>
        <w:numPr>
          <w:ilvl w:val="0"/>
          <w:numId w:val="16"/>
        </w:numPr>
        <w:ind w:left="0" w:firstLine="709"/>
        <w:jc w:val="both"/>
        <w:rPr>
          <w:lang w:val="uk-UA"/>
        </w:rPr>
      </w:pPr>
      <w:proofErr w:type="spellStart"/>
      <w:r w:rsidRPr="00950E38">
        <w:rPr>
          <w:lang w:val="uk-UA"/>
        </w:rPr>
        <w:t>співфінансування</w:t>
      </w:r>
      <w:proofErr w:type="spellEnd"/>
      <w:r w:rsidRPr="00950E38">
        <w:rPr>
          <w:lang w:val="uk-UA"/>
        </w:rPr>
        <w:t xml:space="preserve"> згідно абзацу 3  пункту 4  постанови КМУ від 04.04.2018р. №237 «Деякі питання надання субвенції з державного бюджету місцевим бюджетам на </w:t>
      </w:r>
      <w:r w:rsidRPr="00950E38">
        <w:rPr>
          <w:lang w:val="uk-UA"/>
        </w:rPr>
        <w:lastRenderedPageBreak/>
        <w:t xml:space="preserve">забезпечення якісної, сучасної та доступної загальної середньої освіти «Нова </w:t>
      </w:r>
      <w:proofErr w:type="spellStart"/>
      <w:r w:rsidRPr="00950E38">
        <w:rPr>
          <w:lang w:val="uk-UA"/>
        </w:rPr>
        <w:t>українськам</w:t>
      </w:r>
      <w:proofErr w:type="spellEnd"/>
      <w:r w:rsidRPr="00950E38">
        <w:rPr>
          <w:lang w:val="uk-UA"/>
        </w:rPr>
        <w:t xml:space="preserve"> школа»» - 128 </w:t>
      </w:r>
      <w:proofErr w:type="spellStart"/>
      <w:r w:rsidRPr="00950E38">
        <w:rPr>
          <w:lang w:val="uk-UA"/>
        </w:rPr>
        <w:t>тис.грн</w:t>
      </w:r>
      <w:proofErr w:type="spellEnd"/>
      <w:r w:rsidRPr="00950E38">
        <w:rPr>
          <w:lang w:val="uk-UA"/>
        </w:rPr>
        <w:t>.</w:t>
      </w:r>
    </w:p>
    <w:p w:rsidR="00B45583" w:rsidRPr="00950E38" w:rsidRDefault="00B45583" w:rsidP="00B45583">
      <w:pPr>
        <w:pStyle w:val="ab"/>
        <w:ind w:left="0" w:firstLine="709"/>
        <w:rPr>
          <w:lang w:val="uk-UA"/>
        </w:rPr>
      </w:pPr>
    </w:p>
    <w:p w:rsidR="00B45583" w:rsidRPr="00950E38" w:rsidRDefault="00B45583" w:rsidP="00B45583">
      <w:pPr>
        <w:pStyle w:val="ab"/>
        <w:numPr>
          <w:ilvl w:val="0"/>
          <w:numId w:val="17"/>
        </w:numPr>
        <w:ind w:left="0" w:firstLine="709"/>
        <w:jc w:val="both"/>
        <w:rPr>
          <w:lang w:val="uk-UA"/>
        </w:rPr>
      </w:pPr>
      <w:r w:rsidRPr="00950E38">
        <w:rPr>
          <w:lang w:val="uk-UA"/>
        </w:rPr>
        <w:t xml:space="preserve">Кошти </w:t>
      </w:r>
      <w:proofErr w:type="spellStart"/>
      <w:r w:rsidRPr="00950E38">
        <w:rPr>
          <w:lang w:val="uk-UA"/>
        </w:rPr>
        <w:t>Дунаєвецького</w:t>
      </w:r>
      <w:proofErr w:type="spellEnd"/>
      <w:r w:rsidRPr="00950E38">
        <w:rPr>
          <w:lang w:val="uk-UA"/>
        </w:rPr>
        <w:t xml:space="preserve"> селищного бюджету в сумі 237,7 </w:t>
      </w:r>
      <w:proofErr w:type="spellStart"/>
      <w:r w:rsidRPr="00950E38">
        <w:rPr>
          <w:lang w:val="uk-UA"/>
        </w:rPr>
        <w:t>тис.грн</w:t>
      </w:r>
      <w:proofErr w:type="spellEnd"/>
      <w:r w:rsidRPr="00950E38">
        <w:rPr>
          <w:lang w:val="uk-UA"/>
        </w:rPr>
        <w:t>., передбачених в вигляді іншої субвенції міському бюджету згідно рішення сесії селищної ради від 03.05.2018р. №1-28/2018 «Про внесення змін до селищного бюджету на 2018 рік» запланувати на:</w:t>
      </w:r>
    </w:p>
    <w:p w:rsidR="00B45583" w:rsidRPr="00950E38" w:rsidRDefault="00B45583" w:rsidP="00B45583">
      <w:pPr>
        <w:pStyle w:val="ab"/>
        <w:numPr>
          <w:ilvl w:val="0"/>
          <w:numId w:val="16"/>
        </w:numPr>
        <w:ind w:left="0" w:firstLine="709"/>
        <w:jc w:val="both"/>
        <w:rPr>
          <w:lang w:val="uk-UA"/>
        </w:rPr>
      </w:pPr>
      <w:r w:rsidRPr="00950E38">
        <w:rPr>
          <w:lang w:val="uk-UA"/>
        </w:rPr>
        <w:t xml:space="preserve">придбання слухових апаратів для громадян селищної ради – 4,3 </w:t>
      </w:r>
      <w:proofErr w:type="spellStart"/>
      <w:r w:rsidRPr="00950E38">
        <w:rPr>
          <w:lang w:val="uk-UA"/>
        </w:rPr>
        <w:t>тис.грн</w:t>
      </w:r>
      <w:proofErr w:type="spellEnd"/>
      <w:r w:rsidRPr="00950E38">
        <w:rPr>
          <w:lang w:val="uk-UA"/>
        </w:rPr>
        <w:t>.</w:t>
      </w:r>
    </w:p>
    <w:p w:rsidR="00B45583" w:rsidRPr="00950E38" w:rsidRDefault="00B45583" w:rsidP="00B45583">
      <w:pPr>
        <w:pStyle w:val="ab"/>
        <w:numPr>
          <w:ilvl w:val="0"/>
          <w:numId w:val="16"/>
        </w:numPr>
        <w:ind w:left="0" w:firstLine="709"/>
        <w:jc w:val="both"/>
        <w:rPr>
          <w:lang w:val="uk-UA"/>
        </w:rPr>
      </w:pPr>
      <w:proofErr w:type="spellStart"/>
      <w:r w:rsidRPr="00950E38">
        <w:rPr>
          <w:lang w:val="uk-UA"/>
        </w:rPr>
        <w:t>співфінансування</w:t>
      </w:r>
      <w:proofErr w:type="spellEnd"/>
      <w:r w:rsidRPr="00950E38">
        <w:rPr>
          <w:lang w:val="uk-UA"/>
        </w:rPr>
        <w:t xml:space="preserve"> облаштування приміщення для проведення процедури гемодіалізу – 182,4 </w:t>
      </w:r>
      <w:proofErr w:type="spellStart"/>
      <w:r w:rsidRPr="00950E38">
        <w:rPr>
          <w:lang w:val="uk-UA"/>
        </w:rPr>
        <w:t>тис.грн</w:t>
      </w:r>
      <w:proofErr w:type="spellEnd"/>
      <w:r w:rsidRPr="00950E38">
        <w:rPr>
          <w:lang w:val="uk-UA"/>
        </w:rPr>
        <w:t>.</w:t>
      </w:r>
    </w:p>
    <w:p w:rsidR="00B45583" w:rsidRPr="00950E38" w:rsidRDefault="00B45583" w:rsidP="00B45583">
      <w:pPr>
        <w:pStyle w:val="ab"/>
        <w:numPr>
          <w:ilvl w:val="0"/>
          <w:numId w:val="16"/>
        </w:numPr>
        <w:ind w:left="0" w:firstLine="709"/>
        <w:jc w:val="both"/>
        <w:rPr>
          <w:lang w:val="uk-UA"/>
        </w:rPr>
      </w:pPr>
      <w:proofErr w:type="spellStart"/>
      <w:r w:rsidRPr="00950E38">
        <w:rPr>
          <w:lang w:val="uk-UA"/>
        </w:rPr>
        <w:t>співфінансування</w:t>
      </w:r>
      <w:proofErr w:type="spellEnd"/>
      <w:r w:rsidRPr="00950E38">
        <w:rPr>
          <w:lang w:val="uk-UA"/>
        </w:rPr>
        <w:t xml:space="preserve"> капітального ремонту системи опалення части</w:t>
      </w:r>
      <w:r>
        <w:rPr>
          <w:lang w:val="uk-UA"/>
        </w:rPr>
        <w:t xml:space="preserve">ни лікувального корпусу по </w:t>
      </w:r>
      <w:proofErr w:type="spellStart"/>
      <w:r>
        <w:rPr>
          <w:lang w:val="uk-UA"/>
        </w:rPr>
        <w:t>вул.</w:t>
      </w:r>
      <w:r w:rsidRPr="00950E38">
        <w:rPr>
          <w:lang w:val="uk-UA"/>
        </w:rPr>
        <w:t>Горького</w:t>
      </w:r>
      <w:proofErr w:type="spellEnd"/>
      <w:r w:rsidRPr="00950E38">
        <w:rPr>
          <w:lang w:val="uk-UA"/>
        </w:rPr>
        <w:t>, 7</w:t>
      </w:r>
      <w:r>
        <w:rPr>
          <w:lang w:val="uk-UA"/>
        </w:rPr>
        <w:t>/7</w:t>
      </w:r>
      <w:r w:rsidRPr="00950E38">
        <w:rPr>
          <w:lang w:val="uk-UA"/>
        </w:rPr>
        <w:t xml:space="preserve"> </w:t>
      </w:r>
      <w:proofErr w:type="spellStart"/>
      <w:r w:rsidRPr="00950E38">
        <w:rPr>
          <w:lang w:val="uk-UA"/>
        </w:rPr>
        <w:t>м.Дунаївці</w:t>
      </w:r>
      <w:proofErr w:type="spellEnd"/>
      <w:r w:rsidRPr="00950E38">
        <w:rPr>
          <w:lang w:val="uk-UA"/>
        </w:rPr>
        <w:t xml:space="preserve">, де планується розміщення КУ районної ради «Трудовий архів» – 51 </w:t>
      </w:r>
      <w:proofErr w:type="spellStart"/>
      <w:r w:rsidRPr="00950E38">
        <w:rPr>
          <w:lang w:val="uk-UA"/>
        </w:rPr>
        <w:t>тис.грн</w:t>
      </w:r>
      <w:proofErr w:type="spellEnd"/>
      <w:r w:rsidRPr="00950E38">
        <w:rPr>
          <w:lang w:val="uk-UA"/>
        </w:rPr>
        <w:t>.</w:t>
      </w:r>
    </w:p>
    <w:p w:rsidR="00B45583" w:rsidRPr="00950E38" w:rsidRDefault="00B45583" w:rsidP="00B45583">
      <w:pPr>
        <w:pStyle w:val="ab"/>
        <w:ind w:left="0" w:firstLine="709"/>
        <w:jc w:val="both"/>
        <w:rPr>
          <w:lang w:val="uk-UA"/>
        </w:rPr>
      </w:pPr>
    </w:p>
    <w:p w:rsidR="00B45583" w:rsidRPr="00950E38" w:rsidRDefault="00B45583" w:rsidP="00B45583">
      <w:pPr>
        <w:pStyle w:val="ab"/>
        <w:numPr>
          <w:ilvl w:val="0"/>
          <w:numId w:val="17"/>
        </w:numPr>
        <w:ind w:left="0" w:firstLine="709"/>
        <w:jc w:val="both"/>
        <w:rPr>
          <w:lang w:val="uk-UA"/>
        </w:rPr>
      </w:pPr>
      <w:r w:rsidRPr="00950E38">
        <w:rPr>
          <w:lang w:val="uk-UA"/>
        </w:rPr>
        <w:t>Рі</w:t>
      </w:r>
      <w:r>
        <w:rPr>
          <w:lang w:val="uk-UA"/>
        </w:rPr>
        <w:t>шенням сесії міської ради від 20.04</w:t>
      </w:r>
      <w:r w:rsidRPr="00950E38">
        <w:rPr>
          <w:lang w:val="uk-UA"/>
        </w:rPr>
        <w:t xml:space="preserve">.2018р. 21 </w:t>
      </w:r>
      <w:proofErr w:type="spellStart"/>
      <w:r w:rsidRPr="00950E38">
        <w:rPr>
          <w:lang w:val="uk-UA"/>
        </w:rPr>
        <w:t>тис.грн</w:t>
      </w:r>
      <w:proofErr w:type="spellEnd"/>
      <w:r w:rsidRPr="00950E38">
        <w:rPr>
          <w:lang w:val="uk-UA"/>
        </w:rPr>
        <w:t xml:space="preserve">. залишку екологічного податку, який утворився станом на 01.01.2018р., спрямовано на облаштування </w:t>
      </w:r>
      <w:proofErr w:type="spellStart"/>
      <w:r w:rsidRPr="00950E38">
        <w:rPr>
          <w:lang w:val="uk-UA"/>
        </w:rPr>
        <w:t>цембрин</w:t>
      </w:r>
      <w:proofErr w:type="spellEnd"/>
      <w:r w:rsidRPr="00950E38">
        <w:rPr>
          <w:lang w:val="uk-UA"/>
        </w:rPr>
        <w:t xml:space="preserve"> для громадських криниць. Згідно рекомендацій Департаменту охорони навколишнього природного середовища зазначені кошти доцільно запланувати на ліквідацію нелегальних сміттєзвалищ.</w:t>
      </w:r>
    </w:p>
    <w:p w:rsidR="00B45583" w:rsidRPr="00950E38" w:rsidRDefault="00B45583" w:rsidP="00B45583">
      <w:pPr>
        <w:pStyle w:val="ab"/>
        <w:ind w:left="0" w:firstLine="709"/>
        <w:jc w:val="both"/>
        <w:rPr>
          <w:lang w:val="uk-UA"/>
        </w:rPr>
      </w:pPr>
    </w:p>
    <w:p w:rsidR="00B45583" w:rsidRPr="00950E38" w:rsidRDefault="00B45583" w:rsidP="00B45583">
      <w:pPr>
        <w:pStyle w:val="ab"/>
        <w:numPr>
          <w:ilvl w:val="0"/>
          <w:numId w:val="17"/>
        </w:numPr>
        <w:ind w:left="0" w:firstLine="709"/>
        <w:jc w:val="both"/>
        <w:rPr>
          <w:lang w:val="uk-UA"/>
        </w:rPr>
      </w:pPr>
      <w:r w:rsidRPr="00950E38">
        <w:rPr>
          <w:lang w:val="uk-UA"/>
        </w:rPr>
        <w:t xml:space="preserve">Поточний ремонт автобусних зупинок в сумі 81,5 </w:t>
      </w:r>
      <w:proofErr w:type="spellStart"/>
      <w:r w:rsidRPr="00950E38">
        <w:rPr>
          <w:lang w:val="uk-UA"/>
        </w:rPr>
        <w:t>тис.грн</w:t>
      </w:r>
      <w:proofErr w:type="spellEnd"/>
      <w:r w:rsidRPr="00950E38">
        <w:rPr>
          <w:lang w:val="uk-UA"/>
        </w:rPr>
        <w:t xml:space="preserve">., запланований рішенням сесії міської ради від 20.04.2018р., перепланувати на придбання автобусних зупинок. </w:t>
      </w:r>
    </w:p>
    <w:p w:rsidR="00B45583" w:rsidRPr="00950E38" w:rsidRDefault="00B45583" w:rsidP="00B45583">
      <w:pPr>
        <w:pStyle w:val="ab"/>
        <w:ind w:left="0" w:firstLine="709"/>
        <w:jc w:val="both"/>
        <w:rPr>
          <w:lang w:val="uk-UA"/>
        </w:rPr>
      </w:pPr>
    </w:p>
    <w:p w:rsidR="00B45583" w:rsidRPr="00950E38" w:rsidRDefault="00B45583" w:rsidP="00B45583">
      <w:pPr>
        <w:pStyle w:val="ab"/>
        <w:numPr>
          <w:ilvl w:val="0"/>
          <w:numId w:val="17"/>
        </w:numPr>
        <w:ind w:left="0" w:firstLine="709"/>
        <w:jc w:val="both"/>
        <w:rPr>
          <w:lang w:val="uk-UA"/>
        </w:rPr>
      </w:pPr>
      <w:r w:rsidRPr="00950E38">
        <w:rPr>
          <w:lang w:val="uk-UA"/>
        </w:rPr>
        <w:t xml:space="preserve">При плануванні міського бюджету на 2018 рік були передбачені кошти на поточні ремонти тротуарів в </w:t>
      </w:r>
      <w:proofErr w:type="spellStart"/>
      <w:r w:rsidRPr="00950E38">
        <w:rPr>
          <w:lang w:val="uk-UA"/>
        </w:rPr>
        <w:t>м.Дунаївці</w:t>
      </w:r>
      <w:proofErr w:type="spellEnd"/>
      <w:r w:rsidRPr="00950E38">
        <w:rPr>
          <w:lang w:val="uk-UA"/>
        </w:rPr>
        <w:t xml:space="preserve">. Для оплати капітального ремонту тротуару по </w:t>
      </w:r>
      <w:proofErr w:type="spellStart"/>
      <w:r w:rsidRPr="00950E38">
        <w:rPr>
          <w:lang w:val="uk-UA"/>
        </w:rPr>
        <w:t>вул</w:t>
      </w:r>
      <w:proofErr w:type="spellEnd"/>
      <w:r w:rsidRPr="00950E38">
        <w:rPr>
          <w:lang w:val="uk-UA"/>
        </w:rPr>
        <w:t xml:space="preserve">..Франца </w:t>
      </w:r>
      <w:proofErr w:type="spellStart"/>
      <w:r w:rsidRPr="00950E38">
        <w:rPr>
          <w:lang w:val="uk-UA"/>
        </w:rPr>
        <w:t>Лендера</w:t>
      </w:r>
      <w:proofErr w:type="spellEnd"/>
      <w:r w:rsidRPr="00950E38">
        <w:rPr>
          <w:lang w:val="uk-UA"/>
        </w:rPr>
        <w:t xml:space="preserve"> необхідно перепланувати 100 </w:t>
      </w:r>
      <w:proofErr w:type="spellStart"/>
      <w:r w:rsidRPr="00950E38">
        <w:rPr>
          <w:lang w:val="uk-UA"/>
        </w:rPr>
        <w:t>тис.грн</w:t>
      </w:r>
      <w:proofErr w:type="spellEnd"/>
      <w:r w:rsidRPr="00950E38">
        <w:rPr>
          <w:lang w:val="uk-UA"/>
        </w:rPr>
        <w:t>. з поточних видатків на капітальні.</w:t>
      </w:r>
    </w:p>
    <w:p w:rsidR="00B45583" w:rsidRPr="00950E38" w:rsidRDefault="00B45583" w:rsidP="00B45583">
      <w:pPr>
        <w:pStyle w:val="ab"/>
        <w:ind w:left="0" w:firstLine="709"/>
        <w:rPr>
          <w:lang w:val="uk-UA"/>
        </w:rPr>
      </w:pPr>
    </w:p>
    <w:p w:rsidR="00B45583" w:rsidRPr="00950E38" w:rsidRDefault="00B45583" w:rsidP="00B45583">
      <w:pPr>
        <w:pStyle w:val="ab"/>
        <w:numPr>
          <w:ilvl w:val="0"/>
          <w:numId w:val="17"/>
        </w:numPr>
        <w:ind w:left="0" w:firstLine="709"/>
        <w:jc w:val="both"/>
        <w:rPr>
          <w:lang w:val="uk-UA"/>
        </w:rPr>
      </w:pPr>
      <w:r w:rsidRPr="00950E38">
        <w:rPr>
          <w:lang w:val="uk-UA"/>
        </w:rPr>
        <w:t xml:space="preserve">Кошти в сумі 300 </w:t>
      </w:r>
      <w:proofErr w:type="spellStart"/>
      <w:r w:rsidRPr="00950E38">
        <w:rPr>
          <w:lang w:val="uk-UA"/>
        </w:rPr>
        <w:t>тис.грн</w:t>
      </w:r>
      <w:proofErr w:type="spellEnd"/>
      <w:r w:rsidRPr="00950E38">
        <w:rPr>
          <w:lang w:val="uk-UA"/>
        </w:rPr>
        <w:t>., заплановані на обкошування територій загального користування в сільських населених пунктах громади, спрямувати на поточний ремонт доріг.</w:t>
      </w:r>
    </w:p>
    <w:p w:rsidR="00B45583" w:rsidRPr="00102860" w:rsidRDefault="00B45583" w:rsidP="00B45583">
      <w:pPr>
        <w:pStyle w:val="ab"/>
        <w:ind w:left="0" w:firstLine="709"/>
        <w:rPr>
          <w:sz w:val="28"/>
          <w:szCs w:val="28"/>
        </w:rPr>
      </w:pPr>
    </w:p>
    <w:p w:rsidR="00B45583" w:rsidRPr="00102860" w:rsidRDefault="00B45583" w:rsidP="00B45583">
      <w:pPr>
        <w:pStyle w:val="ab"/>
        <w:ind w:left="0" w:firstLine="709"/>
        <w:rPr>
          <w:sz w:val="28"/>
          <w:szCs w:val="28"/>
        </w:rPr>
      </w:pPr>
    </w:p>
    <w:p w:rsidR="00B45583" w:rsidRPr="0036348F" w:rsidRDefault="00B45583" w:rsidP="00B45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583" w:rsidRDefault="00B45583" w:rsidP="00B45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</w:p>
    <w:p w:rsidR="00B45583" w:rsidRPr="00950E38" w:rsidRDefault="00B45583" w:rsidP="00B4558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фінансового управління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Т.Абзалова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bookmarkEnd w:id="0"/>
    <w:p w:rsidR="00F841E6" w:rsidRPr="00B45583" w:rsidRDefault="00F841E6" w:rsidP="00B45583"/>
    <w:sectPr w:rsidR="00F841E6" w:rsidRPr="00B45583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20688"/>
    <w:rsid w:val="00056A6B"/>
    <w:rsid w:val="000A71FF"/>
    <w:rsid w:val="000D338D"/>
    <w:rsid w:val="000E7EFC"/>
    <w:rsid w:val="000F67DA"/>
    <w:rsid w:val="001016A2"/>
    <w:rsid w:val="00101BF0"/>
    <w:rsid w:val="00102860"/>
    <w:rsid w:val="00115EF6"/>
    <w:rsid w:val="00116EB6"/>
    <w:rsid w:val="00117554"/>
    <w:rsid w:val="001309B6"/>
    <w:rsid w:val="00141D6C"/>
    <w:rsid w:val="001725CE"/>
    <w:rsid w:val="00192E25"/>
    <w:rsid w:val="001C388D"/>
    <w:rsid w:val="001C3D18"/>
    <w:rsid w:val="001D097E"/>
    <w:rsid w:val="001F198C"/>
    <w:rsid w:val="00237285"/>
    <w:rsid w:val="002C66D6"/>
    <w:rsid w:val="002D7A5E"/>
    <w:rsid w:val="002E060F"/>
    <w:rsid w:val="002E7862"/>
    <w:rsid w:val="00322579"/>
    <w:rsid w:val="00345720"/>
    <w:rsid w:val="0036348F"/>
    <w:rsid w:val="00383119"/>
    <w:rsid w:val="003879B0"/>
    <w:rsid w:val="00395439"/>
    <w:rsid w:val="003B1E2B"/>
    <w:rsid w:val="003C05A8"/>
    <w:rsid w:val="003D7AB7"/>
    <w:rsid w:val="00435517"/>
    <w:rsid w:val="00443514"/>
    <w:rsid w:val="004512BD"/>
    <w:rsid w:val="00461862"/>
    <w:rsid w:val="00493A2C"/>
    <w:rsid w:val="00493D29"/>
    <w:rsid w:val="004D51AD"/>
    <w:rsid w:val="00513A71"/>
    <w:rsid w:val="00532110"/>
    <w:rsid w:val="00534BB3"/>
    <w:rsid w:val="00544DA5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B55DC"/>
    <w:rsid w:val="007C43CA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4847"/>
    <w:rsid w:val="008B7B8D"/>
    <w:rsid w:val="008C18F6"/>
    <w:rsid w:val="008C5862"/>
    <w:rsid w:val="008E0CF4"/>
    <w:rsid w:val="008E2C6D"/>
    <w:rsid w:val="0091061A"/>
    <w:rsid w:val="00945AC2"/>
    <w:rsid w:val="00950E38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C0147A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6020D"/>
    <w:rsid w:val="00D87FB6"/>
    <w:rsid w:val="00DD08F6"/>
    <w:rsid w:val="00DE5A2E"/>
    <w:rsid w:val="00E01539"/>
    <w:rsid w:val="00E32F03"/>
    <w:rsid w:val="00E36B2D"/>
    <w:rsid w:val="00E41556"/>
    <w:rsid w:val="00E552CE"/>
    <w:rsid w:val="00E641CA"/>
    <w:rsid w:val="00E7386B"/>
    <w:rsid w:val="00E922EA"/>
    <w:rsid w:val="00ED26A8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5DF9-7BFD-4696-AB72-66B52D44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2</cp:revision>
  <cp:lastPrinted>2018-06-05T13:49:00Z</cp:lastPrinted>
  <dcterms:created xsi:type="dcterms:W3CDTF">2018-06-25T11:39:00Z</dcterms:created>
  <dcterms:modified xsi:type="dcterms:W3CDTF">2018-06-25T11:39:00Z</dcterms:modified>
</cp:coreProperties>
</file>