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F1" w:rsidRPr="00CD1FF1" w:rsidRDefault="00CD1FF1" w:rsidP="00CD1FF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CCE834" wp14:editId="26F4E923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FF1" w:rsidRPr="00CD1FF1" w:rsidRDefault="00CD1FF1" w:rsidP="00CD1FF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1FF1" w:rsidRPr="00CD1FF1" w:rsidRDefault="00CD1FF1" w:rsidP="00CD1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F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CD1FF1" w:rsidRPr="00CD1FF1" w:rsidRDefault="00CD1FF1" w:rsidP="00CD1FF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FF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D1FF1" w:rsidRPr="00CD1FF1" w:rsidRDefault="00CD1FF1" w:rsidP="00CD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CD1FF1" w:rsidRPr="00CD1FF1" w:rsidRDefault="00CD1FF1" w:rsidP="00CD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F1" w:rsidRPr="00CD1FF1" w:rsidRDefault="00CD1FF1" w:rsidP="00CD1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FF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CD1FF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CD1FF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CD1FF1" w:rsidRPr="00CD1FF1" w:rsidRDefault="00CD1FF1" w:rsidP="00CD1FF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FF1">
        <w:rPr>
          <w:rFonts w:ascii="Times New Roman" w:hAnsi="Times New Roman"/>
          <w:sz w:val="24"/>
          <w:szCs w:val="24"/>
          <w:u w:val="none"/>
        </w:rPr>
        <w:t xml:space="preserve"> Тридцять четвертої (позачергової) сесії</w:t>
      </w:r>
    </w:p>
    <w:p w:rsidR="00CD1FF1" w:rsidRPr="00CD1FF1" w:rsidRDefault="00CD1FF1" w:rsidP="00CD1F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D1FF1" w:rsidRPr="00CD1FF1" w:rsidRDefault="00CD1FF1" w:rsidP="00CD1F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01 березня 2018 р.                                     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№2-34/2018р</w:t>
      </w:r>
    </w:p>
    <w:p w:rsidR="00CD1FF1" w:rsidRPr="00CD1FF1" w:rsidRDefault="00CD1FF1" w:rsidP="00CD1FF1">
      <w:pPr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з проведення нормативної грошової оцінки населених пунктів, що входять до 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об’єднанної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на 2018 рік                                                                                                             </w:t>
      </w:r>
    </w:p>
    <w:p w:rsidR="00CD1FF1" w:rsidRPr="00CD1FF1" w:rsidRDefault="00CD1FF1" w:rsidP="00CD1FF1">
      <w:pPr>
        <w:ind w:right="11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</w:t>
      </w:r>
      <w:r w:rsidRPr="00CD1FF1">
        <w:rPr>
          <w:rFonts w:ascii="Times New Roman" w:hAnsi="Times New Roman" w:cs="Times New Roman"/>
          <w:sz w:val="24"/>
          <w:szCs w:val="24"/>
        </w:rPr>
        <w:t xml:space="preserve"> 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статтею 89 Бюджетного кодексу України, </w:t>
      </w:r>
      <w:r w:rsidRPr="00CD1FF1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міська рада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1FF1" w:rsidRPr="00CD1FF1" w:rsidRDefault="00CD1FF1" w:rsidP="00CD1FF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D1FF1" w:rsidRPr="00CD1FF1" w:rsidRDefault="00CD1FF1" w:rsidP="00CD1FF1">
      <w:pPr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Програму з проведення нормативної грошової оцінки населених пунктів, що входять до 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об’єднанної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на 2018 рік (додається).</w:t>
      </w:r>
    </w:p>
    <w:p w:rsidR="00CD1FF1" w:rsidRPr="00CD1FF1" w:rsidRDefault="00CD1FF1" w:rsidP="00CD1FF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>2. Земельно-архітектурному відділу апарату виконавчого комітету міської ради  інформувати міську раду про хід виконання Програми.</w:t>
      </w:r>
    </w:p>
    <w:p w:rsidR="00CD1FF1" w:rsidRPr="00CD1FF1" w:rsidRDefault="00CD1FF1" w:rsidP="00CD1F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земельно-архітектурний відділ апарату виконавчого комітету 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будівництва, містобудування, агропромислового комплексу, земельних відносин та охорони навколишнього природного середовища (С.Кобилянський).</w:t>
      </w:r>
    </w:p>
    <w:p w:rsidR="00CD1FF1" w:rsidRPr="00CD1FF1" w:rsidRDefault="00CD1FF1" w:rsidP="00CD1FF1">
      <w:pPr>
        <w:pStyle w:val="a3"/>
        <w:tabs>
          <w:tab w:val="left" w:pos="708"/>
        </w:tabs>
        <w:ind w:right="-30"/>
        <w:rPr>
          <w:rFonts w:ascii="Times New Roman" w:hAnsi="Times New Roman"/>
          <w:sz w:val="24"/>
          <w:szCs w:val="24"/>
        </w:rPr>
      </w:pPr>
    </w:p>
    <w:p w:rsidR="00CD1FF1" w:rsidRPr="00CD1FF1" w:rsidRDefault="00CD1FF1" w:rsidP="00CD1FF1">
      <w:pPr>
        <w:pStyle w:val="a3"/>
        <w:tabs>
          <w:tab w:val="left" w:pos="708"/>
        </w:tabs>
        <w:ind w:right="-30"/>
        <w:rPr>
          <w:rFonts w:ascii="Times New Roman" w:hAnsi="Times New Roman"/>
          <w:sz w:val="24"/>
          <w:szCs w:val="24"/>
        </w:rPr>
      </w:pPr>
      <w:r w:rsidRPr="00CD1FF1">
        <w:rPr>
          <w:rFonts w:ascii="Times New Roman" w:hAnsi="Times New Roman"/>
          <w:sz w:val="24"/>
          <w:szCs w:val="24"/>
        </w:rPr>
        <w:tab/>
      </w:r>
    </w:p>
    <w:p w:rsidR="00CD1FF1" w:rsidRPr="00CD1FF1" w:rsidRDefault="00CD1FF1" w:rsidP="00CD1FF1">
      <w:pPr>
        <w:pStyle w:val="a3"/>
        <w:tabs>
          <w:tab w:val="left" w:pos="708"/>
        </w:tabs>
        <w:ind w:right="-30"/>
        <w:rPr>
          <w:rFonts w:ascii="Times New Roman" w:hAnsi="Times New Roman"/>
          <w:sz w:val="24"/>
          <w:szCs w:val="24"/>
        </w:rPr>
      </w:pPr>
    </w:p>
    <w:p w:rsidR="00CD1FF1" w:rsidRPr="00CD1FF1" w:rsidRDefault="00CD1FF1" w:rsidP="00CD1FF1">
      <w:pPr>
        <w:pStyle w:val="a3"/>
        <w:tabs>
          <w:tab w:val="left" w:pos="708"/>
          <w:tab w:val="left" w:pos="6521"/>
        </w:tabs>
        <w:ind w:right="-30"/>
        <w:rPr>
          <w:rFonts w:ascii="Times New Roman" w:hAnsi="Times New Roman"/>
          <w:bCs/>
          <w:sz w:val="24"/>
          <w:szCs w:val="24"/>
        </w:rPr>
      </w:pPr>
      <w:r w:rsidRPr="00CD1FF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В. Заяць</w:t>
      </w:r>
    </w:p>
    <w:p w:rsidR="00CD1FF1" w:rsidRPr="00CD1FF1" w:rsidRDefault="00CD1FF1" w:rsidP="00CD1F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D1FF1" w:rsidRPr="00CD1FF1" w:rsidRDefault="00CD1FF1" w:rsidP="00CD1F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D1FF1" w:rsidRPr="00CD1FF1" w:rsidRDefault="00CD1FF1" w:rsidP="00CD1FF1">
      <w:pPr>
        <w:shd w:val="clear" w:color="auto" w:fill="FFFFFF"/>
        <w:spacing w:line="317" w:lineRule="exact"/>
        <w:ind w:left="5954" w:right="518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ЗАТВЕРДЖЕНО:</w:t>
      </w:r>
    </w:p>
    <w:p w:rsidR="00CD1FF1" w:rsidRPr="00CD1FF1" w:rsidRDefault="00CD1FF1" w:rsidP="00CD1FF1">
      <w:pPr>
        <w:shd w:val="clear" w:color="auto" w:fill="FFFFFF"/>
        <w:spacing w:line="317" w:lineRule="exact"/>
        <w:ind w:left="5954" w:right="518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рішенням 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CD1F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ІІ скликання від 01.03.2018 року №2-34/2018р</w:t>
      </w:r>
    </w:p>
    <w:p w:rsidR="00CD1FF1" w:rsidRPr="00CD1FF1" w:rsidRDefault="00CD1FF1" w:rsidP="00CD1FF1">
      <w:pPr>
        <w:shd w:val="clear" w:color="auto" w:fill="FFFFFF"/>
        <w:spacing w:before="322" w:line="322" w:lineRule="exact"/>
        <w:ind w:right="43"/>
        <w:jc w:val="center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spacing w:before="322" w:line="322" w:lineRule="exact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F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ПРОГРАМА</w:t>
      </w:r>
    </w:p>
    <w:p w:rsidR="00CD1FF1" w:rsidRPr="00CD1FF1" w:rsidRDefault="00CD1FF1" w:rsidP="00CD1FF1">
      <w:pPr>
        <w:shd w:val="clear" w:color="auto" w:fill="FFFFFF"/>
        <w:spacing w:line="322" w:lineRule="exact"/>
        <w:ind w:left="2352" w:right="2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F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з проведення нормативної грошової оцінки н</w:t>
      </w:r>
      <w:r w:rsidRPr="00CD1FF1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аселених пунктів, що входять до </w:t>
      </w:r>
      <w:proofErr w:type="spellStart"/>
      <w:r w:rsidRPr="00CD1FF1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 об'єднаної територіальної громади на 2018 рік</w:t>
      </w:r>
    </w:p>
    <w:p w:rsidR="00CD1FF1" w:rsidRPr="00CD1FF1" w:rsidRDefault="00CD1FF1" w:rsidP="00CD1FF1">
      <w:pPr>
        <w:shd w:val="clear" w:color="auto" w:fill="FFFFFF"/>
        <w:spacing w:before="317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pacing w:val="-4"/>
          <w:sz w:val="24"/>
          <w:szCs w:val="24"/>
          <w:lang w:val="uk-UA"/>
        </w:rPr>
        <w:t>1. Мета Програми</w:t>
      </w:r>
    </w:p>
    <w:p w:rsidR="00CD1FF1" w:rsidRPr="00CD1FF1" w:rsidRDefault="00CD1FF1" w:rsidP="00CD1FF1">
      <w:pPr>
        <w:shd w:val="clear" w:color="auto" w:fill="FFFFFF"/>
        <w:spacing w:before="317" w:line="322" w:lineRule="exact"/>
        <w:ind w:left="5" w:right="29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>Відповідно до статті 18 Закону України «Про оцінку земель» нормативна грошова оцінка земельних ділянок несільськогосподарського призначення проводиться не рідше як один раз у 5-7 років.</w:t>
      </w:r>
    </w:p>
    <w:p w:rsidR="00CD1FF1" w:rsidRPr="00CD1FF1" w:rsidRDefault="00CD1FF1" w:rsidP="00CD1FF1">
      <w:pPr>
        <w:shd w:val="clear" w:color="auto" w:fill="FFFFFF"/>
        <w:spacing w:line="322" w:lineRule="exact"/>
        <w:ind w:right="29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В основі нормативної грошової оцінки земель населених пунктів лежить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капіталізація рентного доходу, що отримується залежно від місця розташування 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населеного пункту в загальнодержавній, регіональній і місцевій системах виробництва та розселення, облаштування його території та якості земель з урахуванням природно-кліматичних та інженерно-геологічних умов,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архітектурно-ландшафтної та історико-культурної цінності, екологічного стану, 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функціонального використання земель.</w:t>
      </w:r>
    </w:p>
    <w:p w:rsidR="00CD1FF1" w:rsidRPr="00CD1FF1" w:rsidRDefault="00CD1FF1" w:rsidP="00CD1FF1">
      <w:pPr>
        <w:pStyle w:val="HTML"/>
        <w:shd w:val="clear" w:color="auto" w:fill="FFFFFF"/>
        <w:ind w:firstLine="704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proofErr w:type="gram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Нормативна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грошова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оцінка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земельних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ділянок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використовується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для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визначення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розміру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земельного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податку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, державного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мита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при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міні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,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спадкуванні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та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даруванні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земельних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ділянок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згідно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із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законом,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орендної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плати за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земельні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ділянки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державної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та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комунальної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власності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втрат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сільськогосподарського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і </w:t>
      </w:r>
      <w:r w:rsidRPr="00CD1FF1">
        <w:rPr>
          <w:rFonts w:ascii="Times New Roman" w:hAnsi="Times New Roman" w:cs="Times New Roman"/>
          <w:color w:val="292B2C"/>
          <w:sz w:val="24"/>
          <w:szCs w:val="24"/>
          <w:lang w:val="uk-UA"/>
        </w:rPr>
        <w:t>л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ісогосподарського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виробництва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вартості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земельних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ділянок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площею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понад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50</w:t>
      </w:r>
      <w:r w:rsidRPr="00CD1FF1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гектарів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для 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розміщення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відкритих</w:t>
      </w:r>
      <w:proofErr w:type="spellEnd"/>
      <w:proofErr w:type="gram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спортивних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 і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фізкультурно-оздоровчих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споруд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, а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також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при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розробці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показникі</w:t>
      </w:r>
      <w:proofErr w:type="gram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в</w:t>
      </w:r>
      <w:proofErr w:type="spellEnd"/>
      <w:proofErr w:type="gram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та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механізмів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економічного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стимулювання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раціонального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використання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та </w:t>
      </w:r>
      <w:proofErr w:type="spellStart"/>
      <w:r w:rsidRPr="00CD1FF1">
        <w:rPr>
          <w:rFonts w:ascii="Times New Roman" w:hAnsi="Times New Roman" w:cs="Times New Roman"/>
          <w:color w:val="292B2C"/>
          <w:sz w:val="24"/>
          <w:szCs w:val="24"/>
        </w:rPr>
        <w:t>охорони</w:t>
      </w:r>
      <w:proofErr w:type="spellEnd"/>
      <w:r w:rsidRPr="00CD1FF1">
        <w:rPr>
          <w:rFonts w:ascii="Times New Roman" w:hAnsi="Times New Roman" w:cs="Times New Roman"/>
          <w:color w:val="292B2C"/>
          <w:sz w:val="24"/>
          <w:szCs w:val="24"/>
        </w:rPr>
        <w:t xml:space="preserve"> земель.</w:t>
      </w:r>
    </w:p>
    <w:p w:rsidR="00CD1FF1" w:rsidRPr="00CD1FF1" w:rsidRDefault="00CD1FF1" w:rsidP="00CD1FF1">
      <w:pPr>
        <w:shd w:val="clear" w:color="auto" w:fill="FFFFFF"/>
        <w:spacing w:line="322" w:lineRule="exact"/>
        <w:ind w:left="10" w:right="19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Ліцензованими юридичними особами були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розроблені нормативні грошові оцінки земель населених пунктів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громади,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термін дії яких закінчився, або закінчується в першому півріччі 2018 року.</w:t>
      </w:r>
    </w:p>
    <w:p w:rsidR="00CD1FF1" w:rsidRPr="00CD1FF1" w:rsidRDefault="00CD1FF1" w:rsidP="00CD1FF1">
      <w:pPr>
        <w:shd w:val="clear" w:color="auto" w:fill="FFFFFF"/>
        <w:spacing w:line="322" w:lineRule="exact"/>
        <w:ind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>На цей час відбулися зміни, які впливають на грошову оцінку земель населених пунктів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CD1FF1" w:rsidRPr="00CD1FF1" w:rsidRDefault="00CD1FF1" w:rsidP="00CD1FF1">
      <w:pPr>
        <w:shd w:val="clear" w:color="auto" w:fill="FFFFFF"/>
        <w:spacing w:line="322" w:lineRule="exact"/>
        <w:ind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>Стандартом нормативної грошової оцінки земель населених пунктів передбачені три складові технічної документації з нормативної грошової оцінки земель сільських населених пунктів:  пояснювальна записка, графічні матеріали, додатки.</w:t>
      </w:r>
    </w:p>
    <w:p w:rsidR="00CD1FF1" w:rsidRPr="00CD1FF1" w:rsidRDefault="00CD1FF1" w:rsidP="00CD1FF1">
      <w:pPr>
        <w:shd w:val="clear" w:color="auto" w:fill="FFFFFF"/>
        <w:spacing w:line="322" w:lineRule="exact"/>
        <w:ind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Графічні матеріали включають: схему економіко-планувального зонування території села, схему прояву локальних факторів оцінки, картограму 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агровиробничих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груп ґрунтів на яких в свою чергу повинні бути відображені межі насе</w:t>
      </w:r>
      <w:bookmarkStart w:id="0" w:name="_GoBack"/>
      <w:bookmarkEnd w:id="0"/>
      <w:r w:rsidRPr="00CD1FF1">
        <w:rPr>
          <w:rFonts w:ascii="Times New Roman" w:hAnsi="Times New Roman" w:cs="Times New Roman"/>
          <w:sz w:val="24"/>
          <w:szCs w:val="24"/>
          <w:lang w:val="uk-UA"/>
        </w:rPr>
        <w:t>лених пунктів.</w:t>
      </w:r>
    </w:p>
    <w:p w:rsidR="00CD1FF1" w:rsidRPr="00CD1FF1" w:rsidRDefault="00CD1FF1" w:rsidP="00CD1FF1">
      <w:pPr>
        <w:shd w:val="clear" w:color="auto" w:fill="FFFFFF"/>
        <w:spacing w:line="322" w:lineRule="exact"/>
        <w:ind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Для забезпечення виконання робіт з проведення нормативної грошової оцінки земель 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земель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розробити </w:t>
      </w:r>
      <w:r w:rsidRPr="00CD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проекти землеустрою щодо встановлення (зміни) меж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населених пунктів,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громади.</w:t>
      </w:r>
    </w:p>
    <w:p w:rsidR="00CD1FF1" w:rsidRPr="00CD1FF1" w:rsidRDefault="00CD1FF1" w:rsidP="00CD1FF1">
      <w:pPr>
        <w:shd w:val="clear" w:color="auto" w:fill="FFFFFF"/>
        <w:spacing w:line="322" w:lineRule="exact"/>
        <w:ind w:left="14" w:right="5"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>Метою Програми є забезпечення виконання робіт з проведення нормативної грошової оцінки земель населених пунктів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об'єднанної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територіальної громади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1FF1" w:rsidRPr="00CD1FF1" w:rsidRDefault="00CD1FF1" w:rsidP="00CD1FF1">
      <w:pPr>
        <w:shd w:val="clear" w:color="auto" w:fill="FFFFFF"/>
        <w:spacing w:line="322" w:lineRule="exact"/>
        <w:ind w:left="10" w:right="14"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Видатки, передбачені цією Програмою, пов'язані з виконанням робіт та </w:t>
      </w:r>
      <w:r w:rsidRPr="00CD1FF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наданням послуг ліцензованими організаціями чи фізичними особами, що здійснюються відповідно 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до укладених договорів.</w:t>
      </w:r>
    </w:p>
    <w:p w:rsidR="00CD1FF1" w:rsidRPr="00CD1FF1" w:rsidRDefault="00CD1FF1" w:rsidP="00CD1FF1">
      <w:pPr>
        <w:shd w:val="clear" w:color="auto" w:fill="FFFFFF"/>
        <w:spacing w:line="322" w:lineRule="exact"/>
        <w:ind w:left="10" w:right="5" w:firstLine="704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цих робіт та подальше використання розробленої технічної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документації з нормативної грошової оцінки 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земель населених пунктів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громади, дозволить збільшити надходження до місцевого бюджету доходів від плати за землю, а також дасть можливість громадянам оформляти право спадщини на земельні ділянки, договори міни та дарування земельних ділянок .</w:t>
      </w:r>
    </w:p>
    <w:p w:rsidR="00CD1FF1" w:rsidRPr="00CD1FF1" w:rsidRDefault="00CD1FF1" w:rsidP="00CD1FF1">
      <w:pPr>
        <w:shd w:val="clear" w:color="auto" w:fill="FFFFFF"/>
        <w:spacing w:line="322" w:lineRule="exact"/>
        <w:ind w:left="10" w:right="5"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Інформаційною базою для нормативної грошової оцінки земель населених пунктів є проекти землеустрою щодо встановлення (зміни) меж адміністративно-територіальних одиниць, затверджені генеральні плани населених пунктів, плани зонування територій і детальні плани території, відомості Державного земельного кадастру, інвентаризації земель та державної статистичної звітності.</w:t>
      </w:r>
    </w:p>
    <w:p w:rsidR="00CD1FF1" w:rsidRPr="00CD1FF1" w:rsidRDefault="00CD1FF1" w:rsidP="00CD1FF1">
      <w:pPr>
        <w:shd w:val="clear" w:color="auto" w:fill="FFFFFF"/>
        <w:spacing w:line="322" w:lineRule="exact"/>
        <w:ind w:left="19" w:right="10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Видатки на виконання Програми забезпечать подальший розвиток місцевого бюджету, доходи якого спрямовуватимуться на соціально-економічний розвиток 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населених пунктів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та інші заходи.</w:t>
      </w:r>
    </w:p>
    <w:p w:rsidR="00CD1FF1" w:rsidRPr="00CD1FF1" w:rsidRDefault="00CD1FF1" w:rsidP="00CD1FF1">
      <w:pPr>
        <w:shd w:val="clear" w:color="auto" w:fill="FFFFFF"/>
        <w:spacing w:before="322"/>
        <w:ind w:firstLine="704"/>
        <w:jc w:val="center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2. Законодавча база Програми</w:t>
      </w:r>
    </w:p>
    <w:p w:rsidR="00CD1FF1" w:rsidRPr="00CD1FF1" w:rsidRDefault="00CD1FF1" w:rsidP="00CD1FF1">
      <w:pPr>
        <w:shd w:val="clear" w:color="auto" w:fill="FFFFFF"/>
        <w:spacing w:before="120" w:line="322" w:lineRule="exact"/>
        <w:ind w:left="23"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>Програма розроблена відповідно до Земельного кодексу України, Закону України «Про оцінку земель», «</w:t>
      </w:r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Методики</w:t>
      </w:r>
      <w:r w:rsidRPr="00CD1FF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>нормативної</w:t>
      </w:r>
      <w:proofErr w:type="spellEnd"/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>грошової</w:t>
      </w:r>
      <w:proofErr w:type="spellEnd"/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>оцінки</w:t>
      </w:r>
      <w:proofErr w:type="spellEnd"/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 </w:t>
      </w:r>
      <w:proofErr w:type="spellStart"/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населених</w:t>
      </w:r>
      <w:proofErr w:type="spellEnd"/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>пунктів</w:t>
      </w:r>
      <w:proofErr w:type="spellEnd"/>
      <w:r w:rsidRPr="00CD1FF1">
        <w:rPr>
          <w:rStyle w:val="rvts2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Бюджетного кодексу України.</w:t>
      </w:r>
    </w:p>
    <w:p w:rsidR="00CD1FF1" w:rsidRPr="00CD1FF1" w:rsidRDefault="00CD1FF1" w:rsidP="00CD1FF1">
      <w:pPr>
        <w:shd w:val="clear" w:color="auto" w:fill="FFFFFF"/>
        <w:ind w:right="5" w:firstLine="704"/>
        <w:jc w:val="center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ind w:right="5" w:firstLine="70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pacing w:val="-3"/>
          <w:sz w:val="24"/>
          <w:szCs w:val="24"/>
          <w:lang w:val="uk-UA"/>
        </w:rPr>
        <w:t>3. Ефективність програми</w:t>
      </w:r>
    </w:p>
    <w:p w:rsidR="00CD1FF1" w:rsidRPr="00CD1FF1" w:rsidRDefault="00CD1FF1" w:rsidP="00CD1FF1">
      <w:pPr>
        <w:shd w:val="clear" w:color="auto" w:fill="FFFFFF"/>
        <w:spacing w:before="120" w:line="322" w:lineRule="exact"/>
        <w:ind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цієї програми забезпечить збільшення надходжень до міського бюджету у вигляді земельного податку, орендної плати, втрат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сільськогосподарського виробництва та збільшенні державного мита при міні, 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спадкуванні та даруванні земельних ділянок.</w:t>
      </w:r>
    </w:p>
    <w:p w:rsidR="00CD1FF1" w:rsidRPr="00CD1FF1" w:rsidRDefault="00CD1FF1" w:rsidP="00CD1FF1">
      <w:pPr>
        <w:shd w:val="clear" w:color="auto" w:fill="FFFFFF"/>
        <w:spacing w:before="120"/>
        <w:ind w:right="11" w:firstLine="704"/>
        <w:jc w:val="center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4. Фінансове забезпечення</w:t>
      </w:r>
    </w:p>
    <w:p w:rsidR="00CD1FF1" w:rsidRPr="00CD1FF1" w:rsidRDefault="00CD1FF1" w:rsidP="00CD1FF1">
      <w:pPr>
        <w:shd w:val="clear" w:color="auto" w:fill="FFFFFF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заходів Програми залучаються кошти місцевого бюджету в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обсязі 1875730,00 грн. за рахунок надходжень загального фонду.</w:t>
      </w:r>
    </w:p>
    <w:p w:rsidR="00CD1FF1" w:rsidRPr="00CD1FF1" w:rsidRDefault="00CD1FF1" w:rsidP="00CD1FF1">
      <w:pPr>
        <w:shd w:val="clear" w:color="auto" w:fill="FFFFFF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>Перелік основних заходів, орієнтовані обсяги та джерела фінансування Програми в Додатку 2.</w:t>
      </w:r>
    </w:p>
    <w:p w:rsidR="00CD1FF1" w:rsidRPr="00CD1FF1" w:rsidRDefault="00CD1FF1" w:rsidP="00CD1FF1">
      <w:pPr>
        <w:shd w:val="clear" w:color="auto" w:fill="FFFFFF"/>
        <w:ind w:firstLine="703"/>
        <w:jc w:val="center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lastRenderedPageBreak/>
        <w:t>5. Контроль за виконанням Програми</w:t>
      </w:r>
    </w:p>
    <w:p w:rsidR="00CD1FF1" w:rsidRPr="00CD1FF1" w:rsidRDefault="00CD1FF1" w:rsidP="00CD1FF1">
      <w:pPr>
        <w:shd w:val="clear" w:color="auto" w:fill="FFFFFF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Контроль за виконанням Програми здійснює земельно-архітектурний відділ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апатару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виконавчого комітету міської ради та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постійн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D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CD1FF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D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CD1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D1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CD1FF1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D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D1F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D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CD1FF1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CD1FF1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CD1FF1" w:rsidRPr="00CD1FF1" w:rsidRDefault="00CD1FF1" w:rsidP="00CD1FF1">
      <w:pPr>
        <w:shd w:val="clear" w:color="auto" w:fill="FFFFFF"/>
        <w:spacing w:before="312" w:after="120"/>
        <w:ind w:right="11" w:firstLine="704"/>
        <w:jc w:val="both"/>
        <w:rPr>
          <w:rFonts w:ascii="Times New Roman" w:hAnsi="Times New Roman" w:cs="Times New Roman"/>
          <w:sz w:val="24"/>
          <w:szCs w:val="24"/>
        </w:rPr>
        <w:sectPr w:rsidR="00CD1FF1" w:rsidRPr="00CD1FF1" w:rsidSect="00CD1FF1">
          <w:pgSz w:w="11909" w:h="16834"/>
          <w:pgMar w:top="1134" w:right="852" w:bottom="720" w:left="1423" w:header="720" w:footer="720" w:gutter="0"/>
          <w:cols w:space="60"/>
          <w:noEndnote/>
        </w:sectPr>
      </w:pPr>
    </w:p>
    <w:p w:rsidR="00CD1FF1" w:rsidRPr="00CD1FF1" w:rsidRDefault="00CD1FF1" w:rsidP="00CD1FF1">
      <w:pPr>
        <w:shd w:val="clear" w:color="auto" w:fill="FFFFFF"/>
        <w:ind w:firstLine="704"/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ind w:firstLine="704"/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ind w:firstLine="704"/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Секретар ради</w:t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  <w:t>М.Островський</w:t>
      </w:r>
    </w:p>
    <w:p w:rsidR="00CD1FF1" w:rsidRPr="00CD1FF1" w:rsidRDefault="00CD1FF1" w:rsidP="00CD1FF1">
      <w:pPr>
        <w:shd w:val="clear" w:color="auto" w:fill="FFFFFF"/>
        <w:ind w:firstLine="704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  <w:br w:type="page"/>
      </w:r>
    </w:p>
    <w:p w:rsidR="00CD1FF1" w:rsidRPr="00CD1FF1" w:rsidRDefault="00CD1FF1" w:rsidP="00CD1FF1">
      <w:pPr>
        <w:shd w:val="clear" w:color="auto" w:fill="FFFFFF"/>
        <w:spacing w:line="322" w:lineRule="exact"/>
        <w:ind w:right="518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 </w:t>
      </w:r>
    </w:p>
    <w:p w:rsidR="00CD1FF1" w:rsidRPr="00CD1FF1" w:rsidRDefault="00CD1FF1" w:rsidP="00CD1FF1">
      <w:pPr>
        <w:shd w:val="clear" w:color="auto" w:fill="FFFFFF"/>
        <w:spacing w:line="322" w:lineRule="exact"/>
        <w:ind w:left="5670" w:right="518"/>
        <w:jc w:val="both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до Програми з проведення нормативної грошової оцінки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населених пунктів,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 на 2018 рік</w:t>
      </w:r>
    </w:p>
    <w:p w:rsidR="00CD1FF1" w:rsidRPr="00CD1FF1" w:rsidRDefault="00CD1FF1" w:rsidP="00CD1FF1">
      <w:pPr>
        <w:shd w:val="clear" w:color="auto" w:fill="FFFFFF"/>
        <w:spacing w:before="120"/>
        <w:ind w:right="23" w:firstLine="704"/>
        <w:jc w:val="center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spacing w:before="120"/>
        <w:ind w:right="23" w:firstLine="704"/>
        <w:jc w:val="center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Характеристика Програми</w:t>
      </w:r>
    </w:p>
    <w:p w:rsidR="00CD1FF1" w:rsidRPr="00CD1FF1" w:rsidRDefault="00CD1FF1" w:rsidP="00CD1FF1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12" w:after="0" w:line="322" w:lineRule="exact"/>
        <w:ind w:right="10" w:firstLine="704"/>
        <w:jc w:val="both"/>
        <w:rPr>
          <w:rFonts w:ascii="Times New Roman" w:hAnsi="Times New Roman" w:cs="Times New Roman"/>
          <w:spacing w:val="-31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pacing w:val="-1"/>
          <w:sz w:val="24"/>
          <w:szCs w:val="24"/>
          <w:u w:val="single"/>
          <w:lang w:val="uk-UA"/>
        </w:rPr>
        <w:t>Назва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: </w:t>
      </w:r>
      <w:r w:rsidRPr="00CD1FF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ПРОГРАМА з проведення нормативної грошової оцінки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населених пунктів,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 на 2018 рік.</w:t>
      </w:r>
    </w:p>
    <w:p w:rsidR="00CD1FF1" w:rsidRPr="00CD1FF1" w:rsidRDefault="00CD1FF1" w:rsidP="00CD1FF1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3" w:after="0" w:line="240" w:lineRule="auto"/>
        <w:ind w:firstLine="704"/>
        <w:rPr>
          <w:rFonts w:ascii="Times New Roman" w:hAnsi="Times New Roman" w:cs="Times New Roman"/>
          <w:spacing w:val="-17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u w:val="single"/>
          <w:lang w:val="uk-UA"/>
        </w:rPr>
        <w:t>Замовник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D1FF1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рада.</w:t>
      </w:r>
    </w:p>
    <w:p w:rsidR="00CD1FF1" w:rsidRPr="00CD1FF1" w:rsidRDefault="00CD1FF1" w:rsidP="00CD1FF1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spacing w:val="-17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u w:val="single"/>
          <w:lang w:val="uk-UA"/>
        </w:rPr>
        <w:t>Мета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: проведення нормативної грошової оцінки земель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населених пунктів,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1FF1" w:rsidRPr="00CD1FF1" w:rsidRDefault="00CD1FF1" w:rsidP="00CD1FF1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643" w:lineRule="exact"/>
        <w:ind w:firstLine="704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u w:val="single"/>
          <w:lang w:val="uk-UA"/>
        </w:rPr>
        <w:t>Початок і закінчення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: 2018 рік.</w:t>
      </w:r>
    </w:p>
    <w:p w:rsidR="00CD1FF1" w:rsidRPr="00CD1FF1" w:rsidRDefault="00CD1FF1" w:rsidP="00CD1FF1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spacing w:val="-19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u w:val="single"/>
          <w:lang w:val="uk-UA"/>
        </w:rPr>
        <w:t>Етапи виконання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D1FF1" w:rsidRPr="00CD1FF1" w:rsidRDefault="00CD1FF1" w:rsidP="00CD1FF1">
      <w:pPr>
        <w:shd w:val="clear" w:color="auto" w:fill="FFFFFF"/>
        <w:tabs>
          <w:tab w:val="left" w:pos="0"/>
        </w:tabs>
        <w:ind w:firstLine="704"/>
        <w:rPr>
          <w:rFonts w:ascii="Times New Roman" w:hAnsi="Times New Roman" w:cs="Times New Roman"/>
          <w:spacing w:val="-19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І етап – перше півріччя 2018 року – 1200000,00 грн. (за інформацією 2017 року)</w:t>
      </w:r>
    </w:p>
    <w:p w:rsidR="00CD1FF1" w:rsidRPr="00CD1FF1" w:rsidRDefault="00CD1FF1" w:rsidP="00CD1FF1">
      <w:pPr>
        <w:shd w:val="clear" w:color="auto" w:fill="FFFFFF"/>
        <w:tabs>
          <w:tab w:val="left" w:pos="0"/>
        </w:tabs>
        <w:ind w:firstLine="704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en-US"/>
        </w:rPr>
        <w:t>II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етап – </w:t>
      </w:r>
      <w:r w:rsidRPr="00CD1FF1">
        <w:rPr>
          <w:rFonts w:ascii="Times New Roman" w:hAnsi="Times New Roman" w:cs="Times New Roman"/>
          <w:spacing w:val="10"/>
          <w:sz w:val="24"/>
          <w:szCs w:val="24"/>
          <w:lang w:val="uk-UA"/>
        </w:rPr>
        <w:t>друге півріччя 2018 року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– 675730</w:t>
      </w:r>
      <w:proofErr w:type="gram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,00</w:t>
      </w:r>
      <w:proofErr w:type="gram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грн. 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(за інформацією 2017 року)</w:t>
      </w:r>
    </w:p>
    <w:p w:rsidR="00CD1FF1" w:rsidRPr="00CD1FF1" w:rsidRDefault="00CD1FF1" w:rsidP="00CD1FF1">
      <w:pPr>
        <w:shd w:val="clear" w:color="auto" w:fill="FFFFFF"/>
        <w:tabs>
          <w:tab w:val="left" w:pos="979"/>
        </w:tabs>
        <w:spacing w:before="317"/>
        <w:ind w:firstLine="704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pacing w:val="-16"/>
          <w:sz w:val="24"/>
          <w:szCs w:val="24"/>
          <w:lang w:val="uk-UA"/>
        </w:rPr>
        <w:t>6.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sz w:val="24"/>
          <w:szCs w:val="24"/>
          <w:u w:val="single"/>
          <w:lang w:val="uk-UA"/>
        </w:rPr>
        <w:t>Обсяги фінансування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>: 1875730 грн. - видатки місцевого бюджету.</w:t>
      </w:r>
    </w:p>
    <w:p w:rsidR="00CD1FF1" w:rsidRPr="00CD1FF1" w:rsidRDefault="00CD1FF1" w:rsidP="00CD1FF1">
      <w:pPr>
        <w:shd w:val="clear" w:color="auto" w:fill="FFFFFF"/>
        <w:tabs>
          <w:tab w:val="left" w:pos="1272"/>
        </w:tabs>
        <w:spacing w:before="312" w:after="1286" w:line="322" w:lineRule="exact"/>
        <w:ind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pacing w:val="-20"/>
          <w:sz w:val="24"/>
          <w:szCs w:val="24"/>
          <w:lang w:val="uk-UA"/>
        </w:rPr>
        <w:t>7.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sz w:val="24"/>
          <w:szCs w:val="24"/>
          <w:u w:val="single"/>
          <w:lang w:val="uk-UA"/>
        </w:rPr>
        <w:t>Очікувані результати виконання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(стисло викладена загальна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D1FF1">
        <w:rPr>
          <w:rFonts w:ascii="Times New Roman" w:hAnsi="Times New Roman" w:cs="Times New Roman"/>
          <w:spacing w:val="-2"/>
          <w:sz w:val="24"/>
          <w:szCs w:val="24"/>
          <w:lang w:val="uk-UA"/>
        </w:rPr>
        <w:t>характеристика очікуваних результатів) Проведення нормативної грошової оцінки</w:t>
      </w:r>
      <w:r w:rsidRPr="00CD1FF1">
        <w:rPr>
          <w:rFonts w:ascii="Times New Roman" w:hAnsi="Times New Roman" w:cs="Times New Roman"/>
          <w:spacing w:val="-2"/>
          <w:sz w:val="24"/>
          <w:szCs w:val="24"/>
          <w:lang w:val="uk-UA"/>
        </w:rPr>
        <w:br/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земель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населених пунктів,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</w:t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t xml:space="preserve"> та подальше використання розробленої технічної </w:t>
      </w:r>
      <w:r w:rsidRPr="00CD1FF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документації з нормативної грошової оцінки земель міста, дозволить збільшити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надходження доходів до місцевого бюджету від плати за землю.</w:t>
      </w:r>
    </w:p>
    <w:p w:rsidR="00CD1FF1" w:rsidRPr="00CD1FF1" w:rsidRDefault="00CD1FF1" w:rsidP="00CD1FF1">
      <w:pPr>
        <w:shd w:val="clear" w:color="auto" w:fill="FFFFFF"/>
        <w:tabs>
          <w:tab w:val="left" w:pos="1272"/>
        </w:tabs>
        <w:spacing w:before="312" w:after="1286" w:line="322" w:lineRule="exact"/>
        <w:ind w:left="5"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CD1FF1" w:rsidRPr="00CD1FF1">
          <w:type w:val="continuous"/>
          <w:pgSz w:w="11909" w:h="16834"/>
          <w:pgMar w:top="1134" w:right="655" w:bottom="720" w:left="1337" w:header="720" w:footer="720" w:gutter="0"/>
          <w:cols w:space="60"/>
          <w:noEndnote/>
        </w:sectPr>
      </w:pPr>
    </w:p>
    <w:p w:rsidR="00CD1FF1" w:rsidRPr="00CD1FF1" w:rsidRDefault="00CD1FF1" w:rsidP="00CD1FF1">
      <w:pPr>
        <w:shd w:val="clear" w:color="auto" w:fill="FFFFFF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lastRenderedPageBreak/>
        <w:t>Секретар ради</w:t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  <w:t xml:space="preserve">         М.Островський</w:t>
      </w:r>
    </w:p>
    <w:p w:rsidR="00CD1FF1" w:rsidRPr="00CD1FF1" w:rsidRDefault="00CD1FF1" w:rsidP="00CD1FF1">
      <w:pPr>
        <w:shd w:val="clear" w:color="auto" w:fill="FFFFFF"/>
        <w:spacing w:line="322" w:lineRule="exact"/>
        <w:ind w:right="518"/>
        <w:rPr>
          <w:rFonts w:ascii="Times New Roman" w:hAnsi="Times New Roman" w:cs="Times New Roman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sz w:val="24"/>
          <w:szCs w:val="24"/>
        </w:rPr>
        <w:br w:type="page"/>
      </w:r>
      <w:r w:rsidRPr="00CD1F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Додаток 2 </w:t>
      </w:r>
    </w:p>
    <w:p w:rsidR="00CD1FF1" w:rsidRPr="00CD1FF1" w:rsidRDefault="00CD1FF1" w:rsidP="00CD1FF1">
      <w:pPr>
        <w:shd w:val="clear" w:color="auto" w:fill="FFFFFF"/>
        <w:spacing w:line="322" w:lineRule="exact"/>
        <w:ind w:left="4474" w:right="518"/>
        <w:jc w:val="both"/>
        <w:rPr>
          <w:rFonts w:ascii="Times New Roman" w:hAnsi="Times New Roman" w:cs="Times New Roman"/>
          <w:sz w:val="24"/>
          <w:szCs w:val="24"/>
        </w:rPr>
      </w:pPr>
      <w:r w:rsidRPr="00CD1FF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до Програми з проведення нормативної грошової оцінки </w:t>
      </w:r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населених пунктів, що входять до </w:t>
      </w:r>
      <w:proofErr w:type="spellStart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Дунаєвецької</w:t>
      </w:r>
      <w:proofErr w:type="spellEnd"/>
      <w:r w:rsidRPr="00CD1F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об'єднаної територіальної громади на 2018 рік</w:t>
      </w:r>
    </w:p>
    <w:p w:rsidR="00CD1FF1" w:rsidRPr="00CD1FF1" w:rsidRDefault="00CD1FF1" w:rsidP="00CD1FF1">
      <w:pPr>
        <w:shd w:val="clear" w:color="auto" w:fill="FFFFFF"/>
        <w:spacing w:line="322" w:lineRule="exact"/>
        <w:ind w:left="5160" w:right="51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1FF1" w:rsidRPr="00CD1FF1" w:rsidRDefault="00CD1FF1" w:rsidP="00CD1FF1">
      <w:pPr>
        <w:shd w:val="clear" w:color="auto" w:fill="FFFFFF"/>
        <w:spacing w:before="317"/>
        <w:ind w:left="3077"/>
        <w:rPr>
          <w:rFonts w:ascii="Times New Roman" w:hAnsi="Times New Roman" w:cs="Times New Roman"/>
          <w:b/>
          <w:sz w:val="24"/>
          <w:szCs w:val="24"/>
        </w:rPr>
      </w:pPr>
      <w:r w:rsidRPr="00CD1FF1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Джерела фінансування Програми</w:t>
      </w:r>
    </w:p>
    <w:p w:rsidR="00CD1FF1" w:rsidRPr="00CD1FF1" w:rsidRDefault="00CD1FF1" w:rsidP="00CD1FF1">
      <w:pPr>
        <w:spacing w:after="312" w:line="1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3384"/>
        <w:gridCol w:w="3398"/>
      </w:tblGrid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spacing w:line="326" w:lineRule="exact"/>
              <w:ind w:left="5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Джерела       фінансування </w:t>
            </w:r>
            <w:r w:rsidRPr="00CD1F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spacing w:line="326" w:lineRule="exact"/>
              <w:ind w:left="5" w:right="778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фінансування всього</w:t>
            </w:r>
          </w:p>
        </w:tc>
      </w:tr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1546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1541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1541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233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</w:t>
            </w:r>
            <w:r w:rsidRPr="00CD1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проектів землеустрою щодо встановлення (зміни) меж </w:t>
            </w:r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населених пунктів, що входять до </w:t>
            </w:r>
            <w:proofErr w:type="spellStart"/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об'єднаної територіальної громади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1200000,00 грн.</w:t>
            </w: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проведення    нормативної </w:t>
            </w:r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грошової   оцінки   населених пунктів, що входять до </w:t>
            </w:r>
            <w:proofErr w:type="spellStart"/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об'єднаної територіальної громади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675730,00 грн.</w:t>
            </w:r>
          </w:p>
        </w:tc>
      </w:tr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1875300,00 грн.</w:t>
            </w:r>
          </w:p>
        </w:tc>
      </w:tr>
    </w:tbl>
    <w:p w:rsidR="00CD1FF1" w:rsidRPr="00CD1FF1" w:rsidRDefault="00CD1FF1" w:rsidP="00CD1FF1">
      <w:pPr>
        <w:shd w:val="clear" w:color="auto" w:fill="FFFFFF"/>
        <w:spacing w:before="317"/>
        <w:ind w:left="2443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spacing w:before="317"/>
        <w:ind w:left="2443"/>
        <w:rPr>
          <w:rFonts w:ascii="Times New Roman" w:hAnsi="Times New Roman" w:cs="Times New Roman"/>
          <w:b/>
          <w:sz w:val="24"/>
          <w:szCs w:val="24"/>
        </w:rPr>
      </w:pPr>
      <w:r w:rsidRPr="00CD1FF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br w:type="page"/>
      </w:r>
      <w:r w:rsidRPr="00CD1FF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lastRenderedPageBreak/>
        <w:t>Орієнтовані обсяги фінансування Програми</w:t>
      </w:r>
    </w:p>
    <w:p w:rsidR="00CD1FF1" w:rsidRPr="00CD1FF1" w:rsidRDefault="00CD1FF1" w:rsidP="00CD1FF1">
      <w:pPr>
        <w:spacing w:after="31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536"/>
        <w:gridCol w:w="1354"/>
        <w:gridCol w:w="1339"/>
        <w:gridCol w:w="1296"/>
        <w:gridCol w:w="1276"/>
      </w:tblGrid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ind w:left="5" w:right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spacing w:line="322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F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Закінче</w:t>
            </w:r>
            <w:proofErr w:type="spellEnd"/>
            <w:r w:rsidRPr="00CD1FF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ння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uk-UA"/>
              </w:rPr>
              <w:t>Вартість</w:t>
            </w:r>
          </w:p>
          <w:p w:rsidR="00CD1FF1" w:rsidRPr="00CD1FF1" w:rsidRDefault="00CD1FF1" w:rsidP="00ED7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послуг/без</w:t>
            </w:r>
          </w:p>
          <w:p w:rsidR="00CD1FF1" w:rsidRPr="00CD1FF1" w:rsidRDefault="00CD1FF1" w:rsidP="00ED7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ПДВ/(грн.)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ind w:right="2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</w:t>
            </w: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послуг /3   ПДВ/ (грн.)</w:t>
            </w:r>
          </w:p>
        </w:tc>
      </w:tr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26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17" w:lineRule="exact"/>
              <w:ind w:righ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Надання    послуг    з    розроблення </w:t>
            </w:r>
            <w:r w:rsidRPr="00CD1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проектів землеустрою щодо встановлення (зміни) меж </w:t>
            </w:r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населених пунктів, що входять до </w:t>
            </w:r>
            <w:proofErr w:type="spellStart"/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об'єднаної територіальної громади  та технічної          документації           з </w:t>
            </w:r>
            <w:r w:rsidRPr="00CD1FF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нормативної       грошової      оцінки </w:t>
            </w:r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земель населених пунктів.</w:t>
            </w:r>
            <w:r w:rsidRPr="00CD1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D1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емлеустрою</w:t>
            </w:r>
            <w:proofErr w:type="spellEnd"/>
            <w:r w:rsidRPr="00CD1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щодо встановлення (зміни) меж </w:t>
            </w:r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населених пунктів, що входять до </w:t>
            </w:r>
            <w:proofErr w:type="spellStart"/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об'єднаної територіальної громади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26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Січень 2018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22" w:lineRule="exact"/>
              <w:ind w:left="10"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Грудень </w:t>
            </w: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1875300,00</w:t>
            </w:r>
          </w:p>
        </w:tc>
      </w:tr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Економіко - планувальне зонування </w:t>
            </w:r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територій       населених пунктів, що входять до </w:t>
            </w:r>
            <w:proofErr w:type="spellStart"/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об'єднаної територіальної громади.        Визначення зонального коефіцієнту Км2.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26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Червень </w:t>
            </w: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CD1FF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Вересень</w:t>
            </w: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   переліку    локальних </w:t>
            </w:r>
            <w:r w:rsidRPr="00CD1FF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факторів,   розрахунок   коефіцієнту </w:t>
            </w:r>
            <w:proofErr w:type="spellStart"/>
            <w:r w:rsidRPr="00CD1FF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КмЗ</w:t>
            </w:r>
            <w:proofErr w:type="spellEnd"/>
            <w:r w:rsidRPr="00CD1FF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.       Визначення       зонального </w:t>
            </w:r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коефіцієнту      Км2.       Розрахунок </w:t>
            </w:r>
            <w:r w:rsidRPr="00CD1FF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середньої    (базової)    вартості </w:t>
            </w: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26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Червень </w:t>
            </w: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CD1FF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Вересень</w:t>
            </w:r>
          </w:p>
          <w:p w:rsidR="00CD1FF1" w:rsidRPr="00CD1FF1" w:rsidRDefault="00CD1FF1" w:rsidP="00ED7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F1" w:rsidRPr="00CD1FF1" w:rsidTr="00ED70E6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F1" w:rsidRPr="00CD1FF1" w:rsidRDefault="00CD1FF1" w:rsidP="00ED70E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Розрахунок грошової оцінки земель </w:t>
            </w: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сільськогосподарського </w:t>
            </w:r>
            <w:r w:rsidRPr="00CD1F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призначення Формування технічної </w:t>
            </w:r>
            <w:r w:rsidRPr="00CD1FF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документації.          Подання          на </w:t>
            </w: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обов'язкову державну експертизу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CD1FF1">
              <w:rPr>
                <w:rFonts w:ascii="Times New Roman" w:hAnsi="Times New Roman" w:cs="Times New Roman"/>
                <w:spacing w:val="13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spacing w:line="322" w:lineRule="exact"/>
              <w:ind w:left="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Листопад </w:t>
            </w:r>
            <w:r w:rsidRPr="00CD1FF1">
              <w:rPr>
                <w:rFonts w:ascii="Times New Roman" w:hAnsi="Times New Roman" w:cs="Times New Roman"/>
                <w:spacing w:val="11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F1" w:rsidRPr="00CD1FF1" w:rsidRDefault="00CD1FF1" w:rsidP="00ED70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F1" w:rsidRPr="00CD1FF1" w:rsidRDefault="00CD1FF1" w:rsidP="00CD1FF1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</w:pPr>
    </w:p>
    <w:p w:rsidR="00CD1FF1" w:rsidRPr="00CD1FF1" w:rsidRDefault="00CD1FF1" w:rsidP="00CD1FF1">
      <w:pPr>
        <w:shd w:val="clear" w:color="auto" w:fill="FFFFFF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Секретар ради</w:t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</w:r>
      <w:r w:rsidRPr="00CD1FF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ab/>
        <w:t xml:space="preserve">        М.Островський</w:t>
      </w:r>
    </w:p>
    <w:p w:rsidR="00CD1FF1" w:rsidRPr="00CD1FF1" w:rsidRDefault="00CD1FF1" w:rsidP="00CD1FF1">
      <w:pPr>
        <w:shd w:val="clear" w:color="auto" w:fill="FFFFFF"/>
        <w:spacing w:before="312" w:line="322" w:lineRule="exact"/>
        <w:ind w:left="24"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EE53F7" w:rsidRPr="00CD1FF1" w:rsidRDefault="00EE53F7">
      <w:pPr>
        <w:rPr>
          <w:rFonts w:ascii="Times New Roman" w:hAnsi="Times New Roman" w:cs="Times New Roman"/>
          <w:sz w:val="24"/>
          <w:szCs w:val="24"/>
        </w:rPr>
      </w:pPr>
    </w:p>
    <w:sectPr w:rsidR="00EE53F7" w:rsidRPr="00CD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FF3"/>
    <w:multiLevelType w:val="singleLevel"/>
    <w:tmpl w:val="026EAF2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57"/>
    <w:rsid w:val="00647857"/>
    <w:rsid w:val="00CD1FF1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1"/>
  </w:style>
  <w:style w:type="paragraph" w:styleId="3">
    <w:name w:val="heading 3"/>
    <w:basedOn w:val="a"/>
    <w:next w:val="a"/>
    <w:link w:val="30"/>
    <w:qFormat/>
    <w:rsid w:val="00CD1FF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FF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iPriority w:val="99"/>
    <w:rsid w:val="00CD1FF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D1FF1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uiPriority w:val="99"/>
    <w:rsid w:val="00CD1FF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D1FF1"/>
    <w:rPr>
      <w:rFonts w:cs="Times New Roman"/>
    </w:rPr>
  </w:style>
  <w:style w:type="paragraph" w:styleId="HTML">
    <w:name w:val="HTML Preformatted"/>
    <w:basedOn w:val="a"/>
    <w:link w:val="HTML0"/>
    <w:uiPriority w:val="99"/>
    <w:rsid w:val="00CD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1F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1"/>
  </w:style>
  <w:style w:type="paragraph" w:styleId="3">
    <w:name w:val="heading 3"/>
    <w:basedOn w:val="a"/>
    <w:next w:val="a"/>
    <w:link w:val="30"/>
    <w:qFormat/>
    <w:rsid w:val="00CD1FF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FF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iPriority w:val="99"/>
    <w:rsid w:val="00CD1FF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D1FF1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uiPriority w:val="99"/>
    <w:rsid w:val="00CD1FF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D1FF1"/>
    <w:rPr>
      <w:rFonts w:cs="Times New Roman"/>
    </w:rPr>
  </w:style>
  <w:style w:type="paragraph" w:styleId="HTML">
    <w:name w:val="HTML Preformatted"/>
    <w:basedOn w:val="a"/>
    <w:link w:val="HTML0"/>
    <w:uiPriority w:val="99"/>
    <w:rsid w:val="00CD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1F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2018-07-04T05:27:00Z</dcterms:created>
  <dcterms:modified xsi:type="dcterms:W3CDTF">2018-07-04T05:28:00Z</dcterms:modified>
</cp:coreProperties>
</file>